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Light"/>
        <w:tblpPr w:leftFromText="180" w:rightFromText="180" w:vertAnchor="page" w:horzAnchor="margin" w:tblpXSpec="center" w:tblpY="181"/>
        <w:tblW w:w="11863" w:type="dxa"/>
        <w:tblLook w:val="04A0" w:firstRow="1" w:lastRow="0" w:firstColumn="1" w:lastColumn="0" w:noHBand="0" w:noVBand="1"/>
      </w:tblPr>
      <w:tblGrid>
        <w:gridCol w:w="4113"/>
        <w:gridCol w:w="2261"/>
        <w:gridCol w:w="1173"/>
        <w:gridCol w:w="1095"/>
        <w:gridCol w:w="3210"/>
        <w:gridCol w:w="11"/>
      </w:tblGrid>
      <w:tr w:rsidR="00545E9B" w:rsidRPr="0046706D" w14:paraId="2DA5EA94" w14:textId="5A69C3DB" w:rsidTr="00D627C3">
        <w:trPr>
          <w:trHeight w:val="687"/>
        </w:trPr>
        <w:tc>
          <w:tcPr>
            <w:tcW w:w="11863" w:type="dxa"/>
            <w:gridSpan w:val="6"/>
            <w:shd w:val="clear" w:color="auto" w:fill="002060"/>
          </w:tcPr>
          <w:p w14:paraId="268B92CF" w14:textId="3471C599" w:rsidR="00DF651B" w:rsidRPr="00F4279C" w:rsidRDefault="005C12C2" w:rsidP="009F3DC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631768" wp14:editId="298BE122">
                  <wp:simplePos x="0" y="0"/>
                  <wp:positionH relativeFrom="column">
                    <wp:posOffset>6884035</wp:posOffset>
                  </wp:positionH>
                  <wp:positionV relativeFrom="paragraph">
                    <wp:posOffset>0</wp:posOffset>
                  </wp:positionV>
                  <wp:extent cx="391160" cy="390525"/>
                  <wp:effectExtent l="0" t="0" r="8890" b="9525"/>
                  <wp:wrapTight wrapText="bothSides">
                    <wp:wrapPolygon edited="0">
                      <wp:start x="0" y="0"/>
                      <wp:lineTo x="0" y="21073"/>
                      <wp:lineTo x="21039" y="21073"/>
                      <wp:lineTo x="21039" y="0"/>
                      <wp:lineTo x="0" y="0"/>
                    </wp:wrapPolygon>
                  </wp:wrapTight>
                  <wp:docPr id="170413036" name="Picture 170413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79C"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D627C3">
        <w:trPr>
          <w:trHeight w:val="420"/>
        </w:trPr>
        <w:tc>
          <w:tcPr>
            <w:tcW w:w="4113" w:type="dxa"/>
          </w:tcPr>
          <w:p w14:paraId="51250003" w14:textId="25F8643D" w:rsidR="00DF651B" w:rsidRPr="0046706D" w:rsidRDefault="00DF651B" w:rsidP="009F3DC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3434" w:type="dxa"/>
            <w:gridSpan w:val="2"/>
          </w:tcPr>
          <w:p w14:paraId="137E618A" w14:textId="1934537C" w:rsidR="00DF651B" w:rsidRPr="0046706D" w:rsidRDefault="00DF651B" w:rsidP="009F3DC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316" w:type="dxa"/>
            <w:gridSpan w:val="3"/>
          </w:tcPr>
          <w:p w14:paraId="36F9D304" w14:textId="2ED4F319" w:rsidR="00DF651B" w:rsidRPr="0046706D" w:rsidRDefault="00DF651B" w:rsidP="009F3DC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Autumn </w:t>
            </w:r>
            <w:r w:rsidR="00B71C9D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00D627C3">
        <w:trPr>
          <w:trHeight w:val="405"/>
        </w:trPr>
        <w:tc>
          <w:tcPr>
            <w:tcW w:w="11863" w:type="dxa"/>
            <w:gridSpan w:val="6"/>
          </w:tcPr>
          <w:p w14:paraId="75090BC7" w14:textId="0BFBB933" w:rsidR="00DF651B" w:rsidRPr="00720074" w:rsidRDefault="00DF651B" w:rsidP="009F3DC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720074">
              <w:rPr>
                <w:rFonts w:ascii="Century Gothic" w:hAnsi="Century Gothic"/>
                <w:color w:val="002060"/>
              </w:rPr>
              <w:t>What are we learning?</w:t>
            </w:r>
          </w:p>
        </w:tc>
      </w:tr>
      <w:tr w:rsidR="00545E9B" w:rsidRPr="0046706D" w14:paraId="006D8491" w14:textId="7715D1F1" w:rsidTr="00D627C3">
        <w:trPr>
          <w:trHeight w:val="425"/>
        </w:trPr>
        <w:tc>
          <w:tcPr>
            <w:tcW w:w="11863" w:type="dxa"/>
            <w:gridSpan w:val="6"/>
          </w:tcPr>
          <w:tbl>
            <w:tblPr>
              <w:tblStyle w:val="TableGrid"/>
              <w:tblW w:w="11375" w:type="dxa"/>
              <w:tblInd w:w="15" w:type="dxa"/>
              <w:tblLook w:val="04A0" w:firstRow="1" w:lastRow="0" w:firstColumn="1" w:lastColumn="0" w:noHBand="0" w:noVBand="1"/>
            </w:tblPr>
            <w:tblGrid>
              <w:gridCol w:w="11375"/>
            </w:tblGrid>
            <w:tr w:rsidR="00810B56" w14:paraId="0667F051" w14:textId="77777777" w:rsidTr="001A7E8F">
              <w:trPr>
                <w:trHeight w:val="269"/>
              </w:trPr>
              <w:tc>
                <w:tcPr>
                  <w:tcW w:w="11375" w:type="dxa"/>
                </w:tcPr>
                <w:p w14:paraId="077DF68B" w14:textId="74B11FA3" w:rsidR="00810B56" w:rsidRPr="00D850BA" w:rsidRDefault="00B71C9D" w:rsidP="00E976EE">
                  <w:pPr>
                    <w:framePr w:hSpace="180" w:wrap="around" w:vAnchor="page" w:hAnchor="margin" w:xAlign="center" w:y="181"/>
                    <w:spacing w:after="120"/>
                    <w:jc w:val="center"/>
                    <w:rPr>
                      <w:rFonts w:ascii="Lucida Sans Unicode" w:hAnsi="Lucida Sans Unicode" w:cs="Lucida Sans Unicode"/>
                      <w:b/>
                      <w:bCs/>
                      <w:noProof/>
                      <w:sz w:val="20"/>
                      <w:szCs w:val="20"/>
                      <w:u w:val="single"/>
                    </w:rPr>
                  </w:pPr>
                  <w:r w:rsidRPr="00D850BA">
                    <w:rPr>
                      <w:rFonts w:ascii="Lucida Sans Unicode" w:hAnsi="Lucida Sans Unicode" w:cs="Lucida Sans Unicode"/>
                      <w:b/>
                      <w:bCs/>
                      <w:noProof/>
                      <w:color w:val="002060"/>
                      <w:sz w:val="20"/>
                      <w:szCs w:val="20"/>
                      <w:u w:val="single"/>
                    </w:rPr>
                    <w:t>Unit 2. Processing and respresenting data</w:t>
                  </w:r>
                </w:p>
              </w:tc>
            </w:tr>
            <w:tr w:rsidR="00DF50DF" w14:paraId="20C5C08A" w14:textId="77777777" w:rsidTr="009620A6">
              <w:trPr>
                <w:trHeight w:val="1125"/>
              </w:trPr>
              <w:tc>
                <w:tcPr>
                  <w:tcW w:w="11375" w:type="dxa"/>
                </w:tcPr>
                <w:p w14:paraId="38F1A6DC" w14:textId="06889F1B" w:rsidR="00DF50DF" w:rsidRPr="00D850BA" w:rsidRDefault="00DF50DF" w:rsidP="00E976EE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</w:pPr>
                  <w:r w:rsidRPr="00D850BA"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  <w:t>To be able to draw and interpret various tables including; database, two-way table.</w:t>
                  </w:r>
                </w:p>
                <w:p w14:paraId="66D4A107" w14:textId="77777777" w:rsidR="00DF50DF" w:rsidRPr="00D850BA" w:rsidRDefault="00DF50DF" w:rsidP="00E976EE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</w:pPr>
                  <w:r w:rsidRPr="00D850BA"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  <w:t>To be able to draw and interpret various charts and diagrams including; pictograms, bar charts, vertical line charts, stacked and composite bar charts, stem and leaf diagrams, back-to-back stem and leaf diagrams, pie charts, comparative pie charts, population pyramid, choropleth diagram, cumulative frequency diagram, frequency polygon, histogram.</w:t>
                  </w:r>
                </w:p>
                <w:p w14:paraId="51F42EB5" w14:textId="77777777" w:rsidR="00DF50DF" w:rsidRPr="00D850BA" w:rsidRDefault="00DF50DF" w:rsidP="00E976EE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</w:pPr>
                  <w:r w:rsidRPr="00D850BA"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  <w:t>To understand the shape of a distribution can be either positive, negative or symmetrical.</w:t>
                  </w:r>
                </w:p>
                <w:p w14:paraId="355B60F8" w14:textId="77777777" w:rsidR="00DF50DF" w:rsidRPr="00D850BA" w:rsidRDefault="00DF50DF" w:rsidP="00E976EE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</w:pPr>
                  <w:r w:rsidRPr="00D850BA"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  <w:t xml:space="preserve">To be able to calculate frequencies from comparative pie charts. </w:t>
                  </w:r>
                </w:p>
                <w:p w14:paraId="22C524D3" w14:textId="77777777" w:rsidR="00DF50DF" w:rsidRPr="00D850BA" w:rsidRDefault="00DF50DF" w:rsidP="00E976EE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</w:pPr>
                  <w:r w:rsidRPr="00D850BA"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  <w:t xml:space="preserve">To be able to calculate estimates to the median, upper and lower quartile and inter-quartile range from a cumulative frequency polygon. </w:t>
                  </w:r>
                </w:p>
                <w:p w14:paraId="59B127CE" w14:textId="77777777" w:rsidR="00DF50DF" w:rsidRPr="00D850BA" w:rsidRDefault="00DF50DF" w:rsidP="00E976EE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</w:pPr>
                  <w:r w:rsidRPr="00D850BA"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  <w:t>To be able to calculate frequency and frequency densities for histograms including estimated frequencies.</w:t>
                  </w:r>
                </w:p>
                <w:p w14:paraId="66E2AAF7" w14:textId="3388D888" w:rsidR="00DF50DF" w:rsidRPr="00D850BA" w:rsidRDefault="00DF50DF" w:rsidP="00E976EE">
                  <w:pPr>
                    <w:pStyle w:val="ListParagraph"/>
                    <w:framePr w:hSpace="180" w:wrap="around" w:vAnchor="page" w:hAnchor="margin" w:xAlign="center" w:y="181"/>
                    <w:numPr>
                      <w:ilvl w:val="0"/>
                      <w:numId w:val="13"/>
                    </w:numPr>
                    <w:spacing w:after="120"/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</w:pPr>
                  <w:r w:rsidRPr="00D850BA">
                    <w:rPr>
                      <w:rFonts w:ascii="Lucida Sans Unicode" w:hAnsi="Lucida Sans Unicode" w:cs="Lucida Sans Unicode"/>
                      <w:noProof/>
                      <w:color w:val="002060"/>
                      <w:sz w:val="18"/>
                      <w:szCs w:val="18"/>
                    </w:rPr>
                    <w:t>To understand how diagrams and charts can be used to mislead data and how to correct them.</w:t>
                  </w:r>
                </w:p>
              </w:tc>
            </w:tr>
          </w:tbl>
          <w:p w14:paraId="1B24061C" w14:textId="5669F9C2" w:rsidR="00C55E2F" w:rsidRPr="00C55E2F" w:rsidRDefault="00C55E2F" w:rsidP="009F3DC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ABBF074" w14:textId="500B27E1" w:rsidTr="00D627C3">
        <w:trPr>
          <w:trHeight w:val="215"/>
        </w:trPr>
        <w:tc>
          <w:tcPr>
            <w:tcW w:w="11863" w:type="dxa"/>
            <w:gridSpan w:val="6"/>
          </w:tcPr>
          <w:p w14:paraId="5705B60F" w14:textId="28DE7305" w:rsidR="00DF651B" w:rsidRPr="007A4026" w:rsidRDefault="00DF651B" w:rsidP="009F3DC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7A4026">
              <w:rPr>
                <w:rFonts w:ascii="Century Gothic" w:hAnsi="Century Gothic"/>
                <w:color w:val="002060"/>
              </w:rPr>
              <w:t>How will I be assessed</w:t>
            </w:r>
            <w:r w:rsidR="0022462B" w:rsidRPr="007A4026">
              <w:rPr>
                <w:rFonts w:ascii="Century Gothic" w:hAnsi="Century Gothic"/>
                <w:color w:val="002060"/>
              </w:rPr>
              <w:t>?</w:t>
            </w:r>
          </w:p>
        </w:tc>
      </w:tr>
      <w:tr w:rsidR="00545E9B" w:rsidRPr="0046706D" w14:paraId="4FC946E2" w14:textId="112636B1" w:rsidTr="00D627C3">
        <w:trPr>
          <w:trHeight w:val="353"/>
        </w:trPr>
        <w:tc>
          <w:tcPr>
            <w:tcW w:w="11863" w:type="dxa"/>
            <w:gridSpan w:val="6"/>
          </w:tcPr>
          <w:p w14:paraId="020CE498" w14:textId="7BAB8CB9" w:rsidR="00DF651B" w:rsidRPr="00051660" w:rsidRDefault="00A73471" w:rsidP="009F3DC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051660">
              <w:rPr>
                <w:rFonts w:ascii="Century Gothic" w:hAnsi="Century Gothic"/>
                <w:color w:val="002060"/>
                <w:sz w:val="20"/>
                <w:szCs w:val="20"/>
              </w:rPr>
              <w:t>Retrieval Tasks</w:t>
            </w:r>
            <w:r w:rsidR="00477D5B" w:rsidRPr="0005166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Pr="00051660">
              <w:rPr>
                <w:rFonts w:ascii="Century Gothic" w:hAnsi="Century Gothic"/>
                <w:color w:val="002060"/>
                <w:sz w:val="20"/>
                <w:szCs w:val="20"/>
              </w:rPr>
              <w:t>Exit Tickets</w:t>
            </w:r>
            <w:r w:rsidR="00477D5B" w:rsidRPr="0005166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286CD3" w:rsidRPr="0005166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Topic Test at the end of the </w:t>
            </w:r>
            <w:r w:rsidR="00C82BD8" w:rsidRPr="00051660">
              <w:rPr>
                <w:rFonts w:ascii="Century Gothic" w:hAnsi="Century Gothic"/>
                <w:color w:val="002060"/>
                <w:sz w:val="20"/>
                <w:szCs w:val="20"/>
              </w:rPr>
              <w:t>half term.</w:t>
            </w:r>
          </w:p>
        </w:tc>
      </w:tr>
      <w:tr w:rsidR="00545E9B" w:rsidRPr="0046706D" w14:paraId="03681DD0" w14:textId="43AA48DA" w:rsidTr="00D627C3">
        <w:trPr>
          <w:trHeight w:val="195"/>
        </w:trPr>
        <w:tc>
          <w:tcPr>
            <w:tcW w:w="11863" w:type="dxa"/>
            <w:gridSpan w:val="6"/>
          </w:tcPr>
          <w:p w14:paraId="76B99E6C" w14:textId="4812029A" w:rsidR="00DF651B" w:rsidRPr="007A4026" w:rsidRDefault="00DF651B" w:rsidP="009F3DCF">
            <w:pPr>
              <w:spacing w:after="120"/>
              <w:jc w:val="center"/>
              <w:rPr>
                <w:rFonts w:ascii="Century Gothic" w:hAnsi="Century Gothic"/>
                <w:color w:val="002060"/>
              </w:rPr>
            </w:pPr>
            <w:r w:rsidRPr="007A4026">
              <w:rPr>
                <w:rFonts w:ascii="Century Gothic" w:hAnsi="Century Gothic"/>
                <w:color w:val="002060"/>
              </w:rPr>
              <w:t>Big questions</w:t>
            </w:r>
            <w:r w:rsidR="001F2C70" w:rsidRPr="007A4026">
              <w:rPr>
                <w:rFonts w:ascii="Century Gothic" w:hAnsi="Century Gothic"/>
                <w:color w:val="002060"/>
              </w:rPr>
              <w:t>:</w:t>
            </w:r>
          </w:p>
        </w:tc>
      </w:tr>
      <w:tr w:rsidR="00545E9B" w:rsidRPr="0046706D" w14:paraId="012FA6D1" w14:textId="77777777" w:rsidTr="00D627C3">
        <w:trPr>
          <w:trHeight w:val="1661"/>
        </w:trPr>
        <w:tc>
          <w:tcPr>
            <w:tcW w:w="11863" w:type="dxa"/>
            <w:gridSpan w:val="6"/>
          </w:tcPr>
          <w:p w14:paraId="5D5A731A" w14:textId="75E3B18A" w:rsidR="0041558F" w:rsidRPr="00631BB4" w:rsidRDefault="006D2DC6" w:rsidP="009F3DCF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631BB4">
              <w:rPr>
                <w:rFonts w:ascii="Century Gothic" w:hAnsi="Century Gothic"/>
                <w:color w:val="002060"/>
                <w:sz w:val="18"/>
                <w:szCs w:val="18"/>
              </w:rPr>
              <w:t>Can You</w:t>
            </w:r>
            <w:r w:rsidR="00207850" w:rsidRPr="00631BB4">
              <w:rPr>
                <w:rFonts w:ascii="Century Gothic" w:hAnsi="Century Gothic"/>
                <w:color w:val="002060"/>
                <w:sz w:val="18"/>
                <w:szCs w:val="18"/>
              </w:rPr>
              <w:t>….?</w:t>
            </w:r>
          </w:p>
          <w:p w14:paraId="1B30D948" w14:textId="77777777" w:rsidR="0041558F" w:rsidRPr="00631BB4" w:rsidRDefault="00C8527D" w:rsidP="009F3DCF">
            <w:pPr>
              <w:pStyle w:val="ListParagraph"/>
              <w:numPr>
                <w:ilvl w:val="0"/>
                <w:numId w:val="12"/>
              </w:numPr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</w:pPr>
            <w:r w:rsidRPr="00631BB4"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  <w:t>For what type of data should you use a bar chart?</w:t>
            </w:r>
          </w:p>
          <w:p w14:paraId="45FA0E76" w14:textId="77777777" w:rsidR="00C8527D" w:rsidRPr="00631BB4" w:rsidRDefault="00C8726E" w:rsidP="009F3DCF">
            <w:pPr>
              <w:pStyle w:val="ListParagraph"/>
              <w:numPr>
                <w:ilvl w:val="0"/>
                <w:numId w:val="12"/>
              </w:numPr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</w:pPr>
            <w:r w:rsidRPr="00631BB4"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  <w:t>For a comparative pie chart, what do the different areas represent?</w:t>
            </w:r>
          </w:p>
          <w:p w14:paraId="1F543D78" w14:textId="77777777" w:rsidR="00C8726E" w:rsidRPr="00631BB4" w:rsidRDefault="00EE26E6" w:rsidP="009F3DCF">
            <w:pPr>
              <w:pStyle w:val="ListParagraph"/>
              <w:numPr>
                <w:ilvl w:val="0"/>
                <w:numId w:val="12"/>
              </w:numPr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</w:pPr>
            <w:r w:rsidRPr="00631BB4"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  <w:t>What does the trend in data for a given vertical line chart suggest?</w:t>
            </w:r>
          </w:p>
          <w:p w14:paraId="046A051F" w14:textId="66A3ABBE" w:rsidR="00EE26E6" w:rsidRPr="00631BB4" w:rsidRDefault="00EE26E6" w:rsidP="009F3DCF">
            <w:pPr>
              <w:pStyle w:val="ListParagraph"/>
              <w:numPr>
                <w:ilvl w:val="0"/>
                <w:numId w:val="12"/>
              </w:numPr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</w:pPr>
            <w:r w:rsidRPr="00631BB4"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  <w:t xml:space="preserve">Calculate the </w:t>
            </w:r>
            <w:r w:rsidR="00EB1AA6" w:rsidRPr="00631BB4"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  <w:t xml:space="preserve">Inter-quartile </w:t>
            </w:r>
            <w:r w:rsidR="0009008C" w:rsidRPr="00631BB4"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  <w:t>range (</w:t>
            </w:r>
            <w:r w:rsidR="00EB1AA6" w:rsidRPr="00631BB4"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  <w:t>IQR) from a given cumulative frequency diagram?</w:t>
            </w:r>
          </w:p>
          <w:p w14:paraId="25DFBB90" w14:textId="77777777" w:rsidR="00EB1AA6" w:rsidRPr="00631BB4" w:rsidRDefault="0009008C" w:rsidP="009F3DCF">
            <w:pPr>
              <w:pStyle w:val="ListParagraph"/>
              <w:numPr>
                <w:ilvl w:val="0"/>
                <w:numId w:val="12"/>
              </w:numPr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</w:pPr>
            <w:r w:rsidRPr="00631BB4"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  <w:t>Given an incomplete two-way table, can you calculate the probability of a specific event occurring?</w:t>
            </w:r>
          </w:p>
          <w:p w14:paraId="32E11D59" w14:textId="029D6FF5" w:rsidR="001D74E7" w:rsidRPr="00D850BA" w:rsidRDefault="001D74E7" w:rsidP="00D850BA">
            <w:pPr>
              <w:pStyle w:val="ListParagraph"/>
              <w:numPr>
                <w:ilvl w:val="0"/>
                <w:numId w:val="12"/>
              </w:numPr>
              <w:rPr>
                <w:rFonts w:ascii="Century Gothic" w:eastAsiaTheme="minorEastAsia" w:hAnsi="Century Gothic" w:cs="Calibri Light"/>
                <w:color w:val="002060"/>
                <w:sz w:val="20"/>
                <w:szCs w:val="20"/>
              </w:rPr>
            </w:pPr>
            <w:r w:rsidRPr="00631BB4"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  <w:t xml:space="preserve">Estimate the frequency from </w:t>
            </w:r>
            <w:proofErr w:type="gramStart"/>
            <w:r w:rsidRPr="00631BB4"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  <w:t>an</w:t>
            </w:r>
            <w:proofErr w:type="gramEnd"/>
            <w:r w:rsidRPr="00631BB4">
              <w:rPr>
                <w:rFonts w:ascii="Century Gothic" w:eastAsiaTheme="minorEastAsia" w:hAnsi="Century Gothic" w:cs="Calibri Light"/>
                <w:color w:val="002060"/>
                <w:sz w:val="18"/>
                <w:szCs w:val="18"/>
              </w:rPr>
              <w:t xml:space="preserve"> histogram by using partial areas of bars?</w:t>
            </w:r>
          </w:p>
        </w:tc>
      </w:tr>
      <w:tr w:rsidR="00545E9B" w:rsidRPr="0046706D" w14:paraId="386A19A0" w14:textId="77777777" w:rsidTr="00720074">
        <w:trPr>
          <w:gridAfter w:val="1"/>
          <w:wAfter w:w="11" w:type="dxa"/>
          <w:trHeight w:val="212"/>
        </w:trPr>
        <w:tc>
          <w:tcPr>
            <w:tcW w:w="6374" w:type="dxa"/>
            <w:gridSpan w:val="2"/>
          </w:tcPr>
          <w:p w14:paraId="7A5E92D9" w14:textId="77777777" w:rsidR="00DF651B" w:rsidRPr="007A4026" w:rsidRDefault="00DF651B" w:rsidP="009F3DC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7A4026">
              <w:rPr>
                <w:rFonts w:ascii="Century Gothic" w:hAnsi="Century Gothic"/>
                <w:color w:val="002060"/>
              </w:rPr>
              <w:t>How does this build on previous learning?</w:t>
            </w:r>
          </w:p>
        </w:tc>
        <w:tc>
          <w:tcPr>
            <w:tcW w:w="5478" w:type="dxa"/>
            <w:gridSpan w:val="3"/>
          </w:tcPr>
          <w:p w14:paraId="605BAF8A" w14:textId="7CBB5BAC" w:rsidR="00DF651B" w:rsidRPr="007A4026" w:rsidRDefault="00DF651B" w:rsidP="009F3DCF">
            <w:pPr>
              <w:spacing w:after="120"/>
              <w:jc w:val="both"/>
              <w:rPr>
                <w:rFonts w:ascii="Century Gothic" w:hAnsi="Century Gothic"/>
                <w:color w:val="002060"/>
              </w:rPr>
            </w:pPr>
            <w:r w:rsidRPr="007A4026">
              <w:rPr>
                <w:rFonts w:ascii="Century Gothic" w:hAnsi="Century Gothic"/>
                <w:color w:val="002060"/>
              </w:rPr>
              <w:t>How will this link to my future learning?</w:t>
            </w:r>
          </w:p>
        </w:tc>
      </w:tr>
      <w:tr w:rsidR="00545E9B" w:rsidRPr="0046706D" w14:paraId="513401B3" w14:textId="49FF942A" w:rsidTr="00720074">
        <w:trPr>
          <w:gridAfter w:val="1"/>
          <w:wAfter w:w="11" w:type="dxa"/>
          <w:trHeight w:val="1598"/>
        </w:trPr>
        <w:tc>
          <w:tcPr>
            <w:tcW w:w="6374" w:type="dxa"/>
            <w:gridSpan w:val="2"/>
          </w:tcPr>
          <w:p w14:paraId="2B587E0B" w14:textId="77777777" w:rsidR="00B86692" w:rsidRDefault="00C951A6" w:rsidP="009F3DC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Students will be familiar with several charts and diagrams from both Key stage 2 and 3</w:t>
            </w:r>
            <w:r w:rsidR="00EE7DA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proofErr w:type="gramStart"/>
            <w:r w:rsidR="00EE7DAB">
              <w:rPr>
                <w:rFonts w:ascii="Century Gothic" w:hAnsi="Century Gothic"/>
                <w:color w:val="002060"/>
                <w:sz w:val="18"/>
                <w:szCs w:val="18"/>
              </w:rPr>
              <w:t>including;</w:t>
            </w:r>
            <w:proofErr w:type="gramEnd"/>
            <w:r w:rsidR="00EE7DAB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pictograms, bar charts, composite and stacked bar charts, vertical line charts</w:t>
            </w:r>
            <w:r w:rsidR="001C4D0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stem and leaf and back-to-back stem and leaf diagrams, pie charts, </w:t>
            </w:r>
            <w:r w:rsidR="00563E0B">
              <w:rPr>
                <w:rFonts w:ascii="Century Gothic" w:hAnsi="Century Gothic"/>
                <w:color w:val="002060"/>
                <w:sz w:val="18"/>
                <w:szCs w:val="18"/>
              </w:rPr>
              <w:t>cumulative frequency diagrams, frequency polygons.</w:t>
            </w:r>
          </w:p>
          <w:p w14:paraId="3F9B9467" w14:textId="2794DA23" w:rsidR="00563E0B" w:rsidRDefault="00563E0B" w:rsidP="009F3DC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Students should also be familiar with calculating the mean, median,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upper</w:t>
            </w:r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lower quartiles and inter-quartile range including from cumulative frequency polygons</w:t>
            </w:r>
            <w:r w:rsidR="0069708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from Key stage 3 Maths.</w:t>
            </w:r>
          </w:p>
          <w:p w14:paraId="6C1E3FF1" w14:textId="55EBC91B" w:rsidR="00697080" w:rsidRPr="00427EFB" w:rsidRDefault="00697080" w:rsidP="009F3DC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Students should </w:t>
            </w:r>
            <w:r w:rsidR="006118F7">
              <w:rPr>
                <w:rFonts w:ascii="Century Gothic" w:hAnsi="Century Gothic"/>
                <w:color w:val="002060"/>
                <w:sz w:val="18"/>
                <w:szCs w:val="18"/>
              </w:rPr>
              <w:t>be familiar with the basics of probability from Key stage 3 Maths.</w:t>
            </w:r>
          </w:p>
        </w:tc>
        <w:tc>
          <w:tcPr>
            <w:tcW w:w="5478" w:type="dxa"/>
            <w:gridSpan w:val="3"/>
          </w:tcPr>
          <w:p w14:paraId="65AD4E5E" w14:textId="763C4C66" w:rsidR="007E5E01" w:rsidRPr="00427EFB" w:rsidRDefault="005B274B" w:rsidP="009F3DC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Understand the role manipulation and choice of data display can impact </w:t>
            </w:r>
            <w:r w:rsidR="00394E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observers’ opinions and that the choice of display should be </w:t>
            </w:r>
            <w:r w:rsidR="006118F7">
              <w:rPr>
                <w:rFonts w:ascii="Century Gothic" w:hAnsi="Century Gothic"/>
                <w:color w:val="002060"/>
                <w:sz w:val="18"/>
                <w:szCs w:val="18"/>
              </w:rPr>
              <w:t>affected</w:t>
            </w:r>
            <w:r w:rsidR="00394EF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by the type of data.</w:t>
            </w:r>
          </w:p>
          <w:p w14:paraId="6CE3DDB5" w14:textId="0290B58C" w:rsidR="004B0741" w:rsidRPr="00427EFB" w:rsidRDefault="009912B8" w:rsidP="009F3DC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Data display via charts and diagrams is frequently encountered in topics such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as;</w:t>
            </w:r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6A0A40">
              <w:rPr>
                <w:rFonts w:ascii="Century Gothic" w:hAnsi="Century Gothic"/>
                <w:color w:val="002060"/>
                <w:sz w:val="18"/>
                <w:szCs w:val="18"/>
              </w:rPr>
              <w:t>Chemistry, Physics, Biology, Psychology, Economics and Business Studies, Geography, Travel and Tourism</w:t>
            </w:r>
            <w:r w:rsidR="00AB26F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as well as covered loosely in A-level Maths (Statistics component).</w:t>
            </w:r>
          </w:p>
        </w:tc>
      </w:tr>
      <w:tr w:rsidR="00545E9B" w:rsidRPr="0046706D" w14:paraId="4EB899E3" w14:textId="77777777" w:rsidTr="00B60842">
        <w:trPr>
          <w:gridAfter w:val="1"/>
          <w:wAfter w:w="11" w:type="dxa"/>
          <w:trHeight w:val="75"/>
        </w:trPr>
        <w:tc>
          <w:tcPr>
            <w:tcW w:w="8642" w:type="dxa"/>
            <w:gridSpan w:val="4"/>
          </w:tcPr>
          <w:p w14:paraId="7C7B21A4" w14:textId="029EB021" w:rsidR="00DF651B" w:rsidRPr="007A4026" w:rsidRDefault="00F152A2" w:rsidP="009F3DCF">
            <w:pPr>
              <w:spacing w:after="120"/>
              <w:rPr>
                <w:rFonts w:ascii="Century Gothic" w:hAnsi="Century Gothic"/>
                <w:color w:val="FF0000"/>
              </w:rPr>
            </w:pPr>
            <w:r w:rsidRPr="007A4026">
              <w:rPr>
                <w:rFonts w:ascii="Century Gothic" w:hAnsi="Century Gothic"/>
                <w:color w:val="002060"/>
              </w:rPr>
              <w:t>Core</w:t>
            </w:r>
            <w:r w:rsidR="00DF651B" w:rsidRPr="007A4026">
              <w:rPr>
                <w:rFonts w:ascii="Century Gothic" w:hAnsi="Century Gothic"/>
                <w:color w:val="002060"/>
              </w:rPr>
              <w:t xml:space="preserve"> knowledge</w:t>
            </w:r>
            <w:r w:rsidR="001F2C70" w:rsidRPr="007A4026">
              <w:rPr>
                <w:rFonts w:ascii="Century Gothic" w:hAnsi="Century Gothic"/>
                <w:color w:val="002060"/>
              </w:rPr>
              <w:t>:</w:t>
            </w:r>
          </w:p>
        </w:tc>
        <w:tc>
          <w:tcPr>
            <w:tcW w:w="3210" w:type="dxa"/>
          </w:tcPr>
          <w:p w14:paraId="1AC69115" w14:textId="2B5570F4" w:rsidR="00DF651B" w:rsidRPr="007A4026" w:rsidRDefault="00DF651B" w:rsidP="009F3DC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7A4026">
              <w:rPr>
                <w:rFonts w:ascii="Century Gothic" w:hAnsi="Century Gothic"/>
                <w:color w:val="002060"/>
              </w:rPr>
              <w:t>Key vo</w:t>
            </w:r>
            <w:r w:rsidR="00F152A2" w:rsidRPr="007A4026">
              <w:rPr>
                <w:rFonts w:ascii="Century Gothic" w:hAnsi="Century Gothic"/>
                <w:color w:val="002060"/>
              </w:rPr>
              <w:t>cabulary</w:t>
            </w:r>
            <w:r w:rsidR="001F2C70" w:rsidRPr="007A4026">
              <w:rPr>
                <w:rFonts w:ascii="Century Gothic" w:hAnsi="Century Gothic"/>
                <w:color w:val="002060"/>
              </w:rPr>
              <w:t>:</w:t>
            </w:r>
          </w:p>
        </w:tc>
      </w:tr>
      <w:tr w:rsidR="00545E9B" w:rsidRPr="0046706D" w14:paraId="3057E5B6" w14:textId="77777777" w:rsidTr="000925F2">
        <w:trPr>
          <w:gridAfter w:val="1"/>
          <w:wAfter w:w="11" w:type="dxa"/>
          <w:trHeight w:val="1131"/>
        </w:trPr>
        <w:tc>
          <w:tcPr>
            <w:tcW w:w="8642" w:type="dxa"/>
            <w:gridSpan w:val="4"/>
          </w:tcPr>
          <w:p w14:paraId="5B5D0BE3" w14:textId="1D234DEC" w:rsidR="00366104" w:rsidRPr="000925F2" w:rsidRDefault="00996730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0925F2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Bar Charts</w:t>
            </w:r>
            <w:r w:rsidR="00B62548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  <w:r w:rsidR="00FC3C3A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>use</w:t>
            </w:r>
            <w:r w:rsidR="00B62548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discrete data and </w:t>
            </w:r>
            <w:r w:rsidR="00FC3C3A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>can be</w:t>
            </w:r>
            <w:r w:rsidR="00B62548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display in stacked (</w:t>
            </w:r>
            <w:r w:rsidR="00D27330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>composite) form whereby different groups such as gender are stacked one on top of the other. They may also be displayed side by side for greater comparison.</w:t>
            </w:r>
          </w:p>
          <w:p w14:paraId="1C2D34F1" w14:textId="77777777" w:rsidR="00D27330" w:rsidRPr="000925F2" w:rsidRDefault="00D27330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0925F2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Two-way tables</w:t>
            </w:r>
            <w:r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are an efficient way </w:t>
            </w:r>
            <w:r w:rsidR="006F45C4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>of comparing values for bivariate data and can be effective for calculating probabilities.</w:t>
            </w:r>
          </w:p>
          <w:p w14:paraId="779217A5" w14:textId="3AA21C0A" w:rsidR="006F45C4" w:rsidRPr="000925F2" w:rsidRDefault="002814A7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0925F2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 xml:space="preserve">Stem-and-leaf diagrams </w:t>
            </w:r>
            <w:r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help show patterns in data and skew and can be </w:t>
            </w:r>
            <w:r w:rsidR="00F14098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back-to-back to compare two categories. Along with </w:t>
            </w:r>
            <w:r w:rsidR="00F14098" w:rsidRPr="000925F2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pictograms</w:t>
            </w:r>
            <w:r w:rsidR="00F14098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emphasis must be made on the use of a key.</w:t>
            </w:r>
          </w:p>
          <w:p w14:paraId="65F607FF" w14:textId="77777777" w:rsidR="00F14098" w:rsidRPr="000925F2" w:rsidRDefault="00D16D70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Cumulative frequency diagrams are effective for estimating the </w:t>
            </w:r>
            <w:r w:rsidRPr="000925F2">
              <w:rPr>
                <w:rFonts w:ascii="Calibri Light" w:hAnsi="Calibri Light" w:cs="Calibri Light"/>
                <w:b/>
                <w:bCs/>
                <w:i/>
                <w:iCs/>
                <w:color w:val="002060"/>
                <w:sz w:val="20"/>
                <w:szCs w:val="20"/>
              </w:rPr>
              <w:t>median and quartiles</w:t>
            </w:r>
            <w:r w:rsidR="00F97936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>.</w:t>
            </w:r>
          </w:p>
          <w:p w14:paraId="030181B2" w14:textId="77777777" w:rsidR="00F97936" w:rsidRPr="000925F2" w:rsidRDefault="00F97936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The proportion of the area of </w:t>
            </w:r>
            <w:r w:rsidR="00116C18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>two comparative pie charts is equal to the proportion of their frequencies</w:t>
            </w:r>
            <w:r w:rsidR="00C47FE7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>. We can also calculate one radius of a pie chart using</w:t>
            </w:r>
            <w:r w:rsidR="00FB41AC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Calibri Light"/>
                      <w:i/>
                      <w:color w:val="00206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  <w:color w:val="002060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 Light"/>
                      <w:color w:val="002060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Calibri Light"/>
                  <w:color w:val="002060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 w:cs="Calibri Light"/>
                      <w:i/>
                      <w:color w:val="00206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Calibri Light"/>
                      <w:color w:val="002060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 w:cs="Calibri Light"/>
                      <w:color w:val="002060"/>
                      <w:sz w:val="20"/>
                      <w:szCs w:val="20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Cambria Math" w:cs="Calibri Light"/>
                      <w:i/>
                      <w:color w:val="002060"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Calibri Light"/>
                          <w:i/>
                          <w:color w:val="002060"/>
                          <w:sz w:val="20"/>
                          <w:szCs w:val="20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Calibri Light"/>
                              <w:i/>
                              <w:color w:val="002060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 Light"/>
                              <w:color w:val="002060"/>
                              <w:sz w:val="20"/>
                              <w:szCs w:val="20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Calibri Light"/>
                              <w:color w:val="002060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</m:rad>
                </m:num>
                <m:den>
                  <m:r>
                    <w:rPr>
                      <w:rFonts w:ascii="Cambria Math" w:hAnsi="Cambria Math" w:cs="Calibri Light"/>
                      <w:color w:val="002060"/>
                      <w:sz w:val="20"/>
                      <w:szCs w:val="20"/>
                    </w:rPr>
                    <m:t>√</m:t>
                  </m:r>
                  <m:sSub>
                    <m:sSubPr>
                      <m:ctrlPr>
                        <w:rPr>
                          <w:rFonts w:ascii="Cambria Math" w:hAnsi="Cambria Math" w:cs="Calibri Light"/>
                          <w:i/>
                          <w:color w:val="002060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 Light"/>
                          <w:color w:val="002060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Calibri Light"/>
                          <w:color w:val="002060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</m:oMath>
            <w:r w:rsidR="006A3D37" w:rsidRPr="000925F2">
              <w:rPr>
                <w:rFonts w:ascii="Calibri Light" w:eastAsiaTheme="minorEastAsia" w:hAnsi="Calibri Light" w:cs="Calibri Light"/>
                <w:color w:val="002060"/>
                <w:sz w:val="20"/>
                <w:szCs w:val="20"/>
              </w:rPr>
              <w:t>.</w:t>
            </w:r>
          </w:p>
          <w:p w14:paraId="0493F557" w14:textId="77777777" w:rsidR="00A87C55" w:rsidRPr="000925F2" w:rsidRDefault="00A87C55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0925F2">
              <w:rPr>
                <w:rFonts w:ascii="Calibri Light" w:eastAsiaTheme="minorEastAsia" w:hAnsi="Calibri Light" w:cs="Calibri Light"/>
                <w:color w:val="002060"/>
                <w:sz w:val="20"/>
                <w:szCs w:val="20"/>
              </w:rPr>
              <w:t xml:space="preserve">For </w:t>
            </w:r>
            <w:proofErr w:type="gramStart"/>
            <w:r w:rsidRPr="000925F2">
              <w:rPr>
                <w:rFonts w:ascii="Calibri Light" w:eastAsiaTheme="minorEastAsia" w:hAnsi="Calibri Light" w:cs="Calibri Light"/>
                <w:color w:val="002060"/>
                <w:sz w:val="20"/>
                <w:szCs w:val="20"/>
              </w:rPr>
              <w:t>an</w:t>
            </w:r>
            <w:proofErr w:type="gramEnd"/>
            <w:r w:rsidRPr="000925F2">
              <w:rPr>
                <w:rFonts w:ascii="Calibri Light" w:eastAsiaTheme="minorEastAsia" w:hAnsi="Calibri Light" w:cs="Calibri Light"/>
                <w:color w:val="002060"/>
                <w:sz w:val="20"/>
                <w:szCs w:val="20"/>
              </w:rPr>
              <w:t xml:space="preserve"> histogram, </w:t>
            </w:r>
            <m:oMath>
              <m:r>
                <w:rPr>
                  <w:rFonts w:ascii="Cambria Math" w:eastAsiaTheme="minorEastAsia" w:hAnsi="Cambria Math" w:cs="Calibri Light"/>
                  <w:color w:val="002060"/>
                  <w:sz w:val="20"/>
                  <w:szCs w:val="20"/>
                </w:rPr>
                <m:t>frequency density=</m:t>
              </m:r>
              <m:f>
                <m:fPr>
                  <m:ctrlPr>
                    <w:rPr>
                      <w:rFonts w:ascii="Cambria Math" w:eastAsiaTheme="minorEastAsia" w:hAnsi="Cambria Math" w:cs="Calibri Light"/>
                      <w:i/>
                      <w:color w:val="00206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 Light"/>
                      <w:color w:val="002060"/>
                      <w:sz w:val="20"/>
                      <w:szCs w:val="20"/>
                    </w:rPr>
                    <m:t>frequency</m:t>
                  </m:r>
                </m:num>
                <m:den>
                  <m:r>
                    <w:rPr>
                      <w:rFonts w:ascii="Cambria Math" w:eastAsiaTheme="minorEastAsia" w:hAnsi="Cambria Math" w:cs="Calibri Light"/>
                      <w:color w:val="002060"/>
                      <w:sz w:val="20"/>
                      <w:szCs w:val="20"/>
                    </w:rPr>
                    <m:t>class width</m:t>
                  </m:r>
                </m:den>
              </m:f>
            </m:oMath>
            <w:r w:rsidR="004060CE" w:rsidRPr="000925F2">
              <w:rPr>
                <w:rFonts w:ascii="Calibri Light" w:eastAsiaTheme="minorEastAsia" w:hAnsi="Calibri Light" w:cs="Calibri Light"/>
                <w:color w:val="002060"/>
                <w:sz w:val="20"/>
                <w:szCs w:val="20"/>
              </w:rPr>
              <w:t xml:space="preserve">. This also means that </w:t>
            </w:r>
            <m:oMath>
              <m:r>
                <w:rPr>
                  <w:rFonts w:ascii="Cambria Math" w:eastAsiaTheme="minorEastAsia" w:hAnsi="Cambria Math" w:cs="Calibri Light"/>
                  <w:color w:val="002060"/>
                  <w:sz w:val="20"/>
                  <w:szCs w:val="20"/>
                </w:rPr>
                <m:t>frequency=</m:t>
              </m:r>
              <m:r>
                <w:rPr>
                  <w:rFonts w:ascii="Cambria Math" w:eastAsiaTheme="minorEastAsia" w:hAnsi="Cambria Math" w:cs="Calibri Light"/>
                  <w:color w:val="002060"/>
                  <w:sz w:val="20"/>
                  <w:szCs w:val="20"/>
                </w:rPr>
                <m:t>frequency density ×class width</m:t>
              </m:r>
            </m:oMath>
            <w:r w:rsidR="0065282A" w:rsidRPr="000925F2">
              <w:rPr>
                <w:rFonts w:ascii="Calibri Light" w:eastAsiaTheme="minorEastAsia" w:hAnsi="Calibri Light" w:cs="Calibri Light"/>
                <w:color w:val="002060"/>
                <w:sz w:val="20"/>
                <w:szCs w:val="20"/>
              </w:rPr>
              <w:t xml:space="preserve">. An estimate of the frequency from </w:t>
            </w:r>
            <w:proofErr w:type="gramStart"/>
            <w:r w:rsidR="0065282A" w:rsidRPr="000925F2">
              <w:rPr>
                <w:rFonts w:ascii="Calibri Light" w:eastAsiaTheme="minorEastAsia" w:hAnsi="Calibri Light" w:cs="Calibri Light"/>
                <w:color w:val="002060"/>
                <w:sz w:val="20"/>
                <w:szCs w:val="20"/>
              </w:rPr>
              <w:t>an</w:t>
            </w:r>
            <w:proofErr w:type="gramEnd"/>
            <w:r w:rsidR="0065282A" w:rsidRPr="000925F2">
              <w:rPr>
                <w:rFonts w:ascii="Calibri Light" w:eastAsiaTheme="minorEastAsia" w:hAnsi="Calibri Light" w:cs="Calibri Light"/>
                <w:color w:val="002060"/>
                <w:sz w:val="20"/>
                <w:szCs w:val="20"/>
              </w:rPr>
              <w:t xml:space="preserve"> histogram can be gained by calculating the area of the bars within the given range.</w:t>
            </w:r>
          </w:p>
          <w:p w14:paraId="6C446394" w14:textId="77777777" w:rsidR="0065282A" w:rsidRPr="000925F2" w:rsidRDefault="0065282A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20"/>
                <w:szCs w:val="20"/>
              </w:rPr>
            </w:pPr>
            <w:r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A population pyramid </w:t>
            </w:r>
            <w:r w:rsidR="00EA1CF2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shows a distribution of ages for two given categories such as gender. </w:t>
            </w:r>
          </w:p>
          <w:p w14:paraId="04B71273" w14:textId="56E15ABB" w:rsidR="003573BC" w:rsidRPr="00C6009E" w:rsidRDefault="003573BC" w:rsidP="009F3DC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 w:cs="Calibri Light"/>
                <w:color w:val="002060"/>
                <w:sz w:val="18"/>
                <w:szCs w:val="18"/>
              </w:rPr>
            </w:pPr>
            <w:r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 xml:space="preserve">A choropleth map splits a geographical area into different regions where the </w:t>
            </w:r>
            <w:r w:rsidR="003032BF" w:rsidRPr="000925F2">
              <w:rPr>
                <w:rFonts w:ascii="Calibri Light" w:hAnsi="Calibri Light" w:cs="Calibri Light"/>
                <w:color w:val="002060"/>
                <w:sz w:val="20"/>
                <w:szCs w:val="20"/>
              </w:rPr>
              <w:t>darker the shade of the colour the higher the proportion.</w:t>
            </w:r>
          </w:p>
        </w:tc>
        <w:tc>
          <w:tcPr>
            <w:tcW w:w="3210" w:type="dxa"/>
          </w:tcPr>
          <w:p w14:paraId="7E4B786D" w14:textId="38675A3B" w:rsidR="00E3746A" w:rsidRPr="007A4026" w:rsidRDefault="00AB26FF" w:rsidP="009F3DCF">
            <w:pPr>
              <w:pStyle w:val="ListParagraph"/>
              <w:spacing w:after="120"/>
              <w:ind w:left="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7A402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Charts and Diagrams: </w:t>
            </w:r>
            <w:r w:rsidRPr="007A402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Pictogram, </w:t>
            </w:r>
            <w:r w:rsidR="00284980" w:rsidRPr="007A402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stacked, composite, polygon, frequency, cumulative, histogram, stem and leaf, two-way table, </w:t>
            </w:r>
            <w:r w:rsidR="00C642EC" w:rsidRPr="007A402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data, continuous, discrete, pyramid, population, choropleth, </w:t>
            </w:r>
            <w:r w:rsidR="003603DE" w:rsidRPr="007A402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misleading, representative, comparative, pie chart, bar chart, vertical line chart, frequency density, </w:t>
            </w:r>
            <w:r w:rsidR="00EE7DAB" w:rsidRPr="007A4026">
              <w:rPr>
                <w:rFonts w:ascii="Century Gothic" w:hAnsi="Century Gothic"/>
                <w:color w:val="002060"/>
                <w:sz w:val="20"/>
                <w:szCs w:val="20"/>
              </w:rPr>
              <w:t>estimation</w:t>
            </w:r>
            <w:r w:rsidR="00996730" w:rsidRPr="007A4026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</w:tr>
      <w:tr w:rsidR="00545E9B" w:rsidRPr="0046706D" w14:paraId="5B384543" w14:textId="77777777" w:rsidTr="00D627C3">
        <w:trPr>
          <w:trHeight w:val="405"/>
        </w:trPr>
        <w:tc>
          <w:tcPr>
            <w:tcW w:w="11863" w:type="dxa"/>
            <w:gridSpan w:val="6"/>
          </w:tcPr>
          <w:p w14:paraId="085C626B" w14:textId="31BF2C0F" w:rsidR="001F2C70" w:rsidRPr="0046706D" w:rsidRDefault="001F2C70" w:rsidP="009F3DC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13C6C" w:rsidRPr="004A40F9">
              <w:rPr>
                <w:rFonts w:ascii="Century Gothic" w:hAnsi="Century Gothic"/>
                <w:color w:val="002060"/>
                <w:sz w:val="20"/>
                <w:szCs w:val="20"/>
              </w:rPr>
              <w:t>Refer to the knowledge organiser uploaded to Class Charts at the start of the year.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720074">
      <w:pgSz w:w="11906" w:h="16838" w:code="9"/>
      <w:pgMar w:top="454" w:right="720" w:bottom="238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5176" w14:textId="77777777" w:rsidR="002D7EE0" w:rsidRDefault="002D7EE0" w:rsidP="001F2C70">
      <w:pPr>
        <w:spacing w:after="0" w:line="240" w:lineRule="auto"/>
      </w:pPr>
      <w:r>
        <w:separator/>
      </w:r>
    </w:p>
  </w:endnote>
  <w:endnote w:type="continuationSeparator" w:id="0">
    <w:p w14:paraId="03426DC6" w14:textId="77777777" w:rsidR="002D7EE0" w:rsidRDefault="002D7EE0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28DF" w14:textId="77777777" w:rsidR="002D7EE0" w:rsidRDefault="002D7EE0" w:rsidP="001F2C70">
      <w:pPr>
        <w:spacing w:after="0" w:line="240" w:lineRule="auto"/>
      </w:pPr>
      <w:r>
        <w:separator/>
      </w:r>
    </w:p>
  </w:footnote>
  <w:footnote w:type="continuationSeparator" w:id="0">
    <w:p w14:paraId="669BBE1C" w14:textId="77777777" w:rsidR="002D7EE0" w:rsidRDefault="002D7EE0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7EC"/>
    <w:multiLevelType w:val="hybridMultilevel"/>
    <w:tmpl w:val="913C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6AF"/>
    <w:multiLevelType w:val="hybridMultilevel"/>
    <w:tmpl w:val="7752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818EA"/>
    <w:multiLevelType w:val="hybridMultilevel"/>
    <w:tmpl w:val="EC96C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E0BE7"/>
    <w:multiLevelType w:val="hybridMultilevel"/>
    <w:tmpl w:val="B1FE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5C5"/>
    <w:multiLevelType w:val="hybridMultilevel"/>
    <w:tmpl w:val="44A2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4"/>
  </w:num>
  <w:num w:numId="2" w16cid:durableId="1128552435">
    <w:abstractNumId w:val="10"/>
  </w:num>
  <w:num w:numId="3" w16cid:durableId="510877750">
    <w:abstractNumId w:val="7"/>
  </w:num>
  <w:num w:numId="4" w16cid:durableId="835222441">
    <w:abstractNumId w:val="5"/>
  </w:num>
  <w:num w:numId="5" w16cid:durableId="867646675">
    <w:abstractNumId w:val="3"/>
  </w:num>
  <w:num w:numId="6" w16cid:durableId="1399134034">
    <w:abstractNumId w:val="8"/>
  </w:num>
  <w:num w:numId="7" w16cid:durableId="1624774626">
    <w:abstractNumId w:val="2"/>
  </w:num>
  <w:num w:numId="8" w16cid:durableId="362681773">
    <w:abstractNumId w:val="6"/>
  </w:num>
  <w:num w:numId="9" w16cid:durableId="1551068926">
    <w:abstractNumId w:val="9"/>
  </w:num>
  <w:num w:numId="10" w16cid:durableId="1074936684">
    <w:abstractNumId w:val="12"/>
  </w:num>
  <w:num w:numId="11" w16cid:durableId="2024092055">
    <w:abstractNumId w:val="4"/>
  </w:num>
  <w:num w:numId="12" w16cid:durableId="1108697077">
    <w:abstractNumId w:val="1"/>
  </w:num>
  <w:num w:numId="13" w16cid:durableId="233203894">
    <w:abstractNumId w:val="11"/>
  </w:num>
  <w:num w:numId="14" w16cid:durableId="1754862902">
    <w:abstractNumId w:val="13"/>
  </w:num>
  <w:num w:numId="15" w16cid:durableId="111459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04EE2"/>
    <w:rsid w:val="0004158E"/>
    <w:rsid w:val="00044D6B"/>
    <w:rsid w:val="0005075A"/>
    <w:rsid w:val="00051660"/>
    <w:rsid w:val="0006771C"/>
    <w:rsid w:val="00073905"/>
    <w:rsid w:val="0009008C"/>
    <w:rsid w:val="000925F2"/>
    <w:rsid w:val="000961FB"/>
    <w:rsid w:val="000A020F"/>
    <w:rsid w:val="000A0B1B"/>
    <w:rsid w:val="000A7780"/>
    <w:rsid w:val="000C1E36"/>
    <w:rsid w:val="000C4601"/>
    <w:rsid w:val="000F0B8F"/>
    <w:rsid w:val="000F1B29"/>
    <w:rsid w:val="001062A3"/>
    <w:rsid w:val="00116C18"/>
    <w:rsid w:val="0013379A"/>
    <w:rsid w:val="00162CCF"/>
    <w:rsid w:val="0018071B"/>
    <w:rsid w:val="00185BB3"/>
    <w:rsid w:val="00197E52"/>
    <w:rsid w:val="001A0C14"/>
    <w:rsid w:val="001A7E8F"/>
    <w:rsid w:val="001C4D0F"/>
    <w:rsid w:val="001D74E7"/>
    <w:rsid w:val="001E49D3"/>
    <w:rsid w:val="001F2C70"/>
    <w:rsid w:val="002052FE"/>
    <w:rsid w:val="00207850"/>
    <w:rsid w:val="0021493B"/>
    <w:rsid w:val="002151AC"/>
    <w:rsid w:val="0022462B"/>
    <w:rsid w:val="0023031D"/>
    <w:rsid w:val="00231629"/>
    <w:rsid w:val="002814A7"/>
    <w:rsid w:val="00284980"/>
    <w:rsid w:val="00286CD3"/>
    <w:rsid w:val="00295EF9"/>
    <w:rsid w:val="002B34A5"/>
    <w:rsid w:val="002C368A"/>
    <w:rsid w:val="002D7EE0"/>
    <w:rsid w:val="002E35BD"/>
    <w:rsid w:val="002E3C55"/>
    <w:rsid w:val="003032BF"/>
    <w:rsid w:val="00311F46"/>
    <w:rsid w:val="00316BEF"/>
    <w:rsid w:val="003458C0"/>
    <w:rsid w:val="00346D3E"/>
    <w:rsid w:val="0035389D"/>
    <w:rsid w:val="003573BC"/>
    <w:rsid w:val="003603DE"/>
    <w:rsid w:val="0036087F"/>
    <w:rsid w:val="003653A3"/>
    <w:rsid w:val="00366104"/>
    <w:rsid w:val="00383915"/>
    <w:rsid w:val="00394EF8"/>
    <w:rsid w:val="003B685D"/>
    <w:rsid w:val="003C2553"/>
    <w:rsid w:val="003D0FF9"/>
    <w:rsid w:val="003D152C"/>
    <w:rsid w:val="003F5D2D"/>
    <w:rsid w:val="00400F32"/>
    <w:rsid w:val="004060CE"/>
    <w:rsid w:val="0041558F"/>
    <w:rsid w:val="00427EFB"/>
    <w:rsid w:val="004414A5"/>
    <w:rsid w:val="00454501"/>
    <w:rsid w:val="00461438"/>
    <w:rsid w:val="00466303"/>
    <w:rsid w:val="0046706D"/>
    <w:rsid w:val="0047528D"/>
    <w:rsid w:val="00477D5B"/>
    <w:rsid w:val="00492197"/>
    <w:rsid w:val="004A13C9"/>
    <w:rsid w:val="004A6C49"/>
    <w:rsid w:val="004B0741"/>
    <w:rsid w:val="004C1360"/>
    <w:rsid w:val="004D2248"/>
    <w:rsid w:val="004E3BB7"/>
    <w:rsid w:val="00501D35"/>
    <w:rsid w:val="00505CF5"/>
    <w:rsid w:val="0050759B"/>
    <w:rsid w:val="0050781C"/>
    <w:rsid w:val="00526BF0"/>
    <w:rsid w:val="00533FB6"/>
    <w:rsid w:val="00545E9B"/>
    <w:rsid w:val="005506AC"/>
    <w:rsid w:val="00563E0B"/>
    <w:rsid w:val="00590289"/>
    <w:rsid w:val="00590DE2"/>
    <w:rsid w:val="00592233"/>
    <w:rsid w:val="0059307B"/>
    <w:rsid w:val="005974B7"/>
    <w:rsid w:val="005B274B"/>
    <w:rsid w:val="005B2CB8"/>
    <w:rsid w:val="005B6017"/>
    <w:rsid w:val="005C12C2"/>
    <w:rsid w:val="005C1618"/>
    <w:rsid w:val="005C1939"/>
    <w:rsid w:val="005E6C47"/>
    <w:rsid w:val="005F4097"/>
    <w:rsid w:val="006118F7"/>
    <w:rsid w:val="0062745F"/>
    <w:rsid w:val="00631BB4"/>
    <w:rsid w:val="00650FB5"/>
    <w:rsid w:val="0065282A"/>
    <w:rsid w:val="00653313"/>
    <w:rsid w:val="00654C94"/>
    <w:rsid w:val="00662A88"/>
    <w:rsid w:val="0066510B"/>
    <w:rsid w:val="00670AF6"/>
    <w:rsid w:val="006744BC"/>
    <w:rsid w:val="00676792"/>
    <w:rsid w:val="0068698C"/>
    <w:rsid w:val="00693B5E"/>
    <w:rsid w:val="0069554B"/>
    <w:rsid w:val="00697080"/>
    <w:rsid w:val="00697951"/>
    <w:rsid w:val="006A0A40"/>
    <w:rsid w:val="006A3756"/>
    <w:rsid w:val="006A3D37"/>
    <w:rsid w:val="006B79B4"/>
    <w:rsid w:val="006D2DC6"/>
    <w:rsid w:val="006F45C4"/>
    <w:rsid w:val="00720074"/>
    <w:rsid w:val="00727CB6"/>
    <w:rsid w:val="0073535A"/>
    <w:rsid w:val="00771274"/>
    <w:rsid w:val="0079074A"/>
    <w:rsid w:val="00793CF2"/>
    <w:rsid w:val="007A1070"/>
    <w:rsid w:val="007A2AF9"/>
    <w:rsid w:val="007A4026"/>
    <w:rsid w:val="007A604B"/>
    <w:rsid w:val="007B58AF"/>
    <w:rsid w:val="007D1F14"/>
    <w:rsid w:val="007D4A06"/>
    <w:rsid w:val="007E5E01"/>
    <w:rsid w:val="007E7676"/>
    <w:rsid w:val="007F2F86"/>
    <w:rsid w:val="00804256"/>
    <w:rsid w:val="008069C7"/>
    <w:rsid w:val="00810B56"/>
    <w:rsid w:val="00816391"/>
    <w:rsid w:val="0084772D"/>
    <w:rsid w:val="00860C26"/>
    <w:rsid w:val="00865D76"/>
    <w:rsid w:val="00867488"/>
    <w:rsid w:val="00872674"/>
    <w:rsid w:val="008778C2"/>
    <w:rsid w:val="00885218"/>
    <w:rsid w:val="0088742F"/>
    <w:rsid w:val="00887564"/>
    <w:rsid w:val="008A3B02"/>
    <w:rsid w:val="008A71EF"/>
    <w:rsid w:val="008C17C2"/>
    <w:rsid w:val="008F7446"/>
    <w:rsid w:val="00911315"/>
    <w:rsid w:val="009279AF"/>
    <w:rsid w:val="00947A9F"/>
    <w:rsid w:val="00956130"/>
    <w:rsid w:val="00966DE5"/>
    <w:rsid w:val="00975DAF"/>
    <w:rsid w:val="009912B8"/>
    <w:rsid w:val="00996730"/>
    <w:rsid w:val="00996E7A"/>
    <w:rsid w:val="009A604E"/>
    <w:rsid w:val="009C7B82"/>
    <w:rsid w:val="009E0695"/>
    <w:rsid w:val="009E1887"/>
    <w:rsid w:val="009E3180"/>
    <w:rsid w:val="009E4CF8"/>
    <w:rsid w:val="009E74AA"/>
    <w:rsid w:val="009F3DCF"/>
    <w:rsid w:val="00A134E2"/>
    <w:rsid w:val="00A2746C"/>
    <w:rsid w:val="00A350B1"/>
    <w:rsid w:val="00A369A9"/>
    <w:rsid w:val="00A73471"/>
    <w:rsid w:val="00A87C55"/>
    <w:rsid w:val="00AA133D"/>
    <w:rsid w:val="00AA1C7D"/>
    <w:rsid w:val="00AB26FF"/>
    <w:rsid w:val="00AC60DC"/>
    <w:rsid w:val="00AD0941"/>
    <w:rsid w:val="00AE60FE"/>
    <w:rsid w:val="00B51296"/>
    <w:rsid w:val="00B55C6E"/>
    <w:rsid w:val="00B60842"/>
    <w:rsid w:val="00B62548"/>
    <w:rsid w:val="00B6620D"/>
    <w:rsid w:val="00B70099"/>
    <w:rsid w:val="00B71C9D"/>
    <w:rsid w:val="00B86692"/>
    <w:rsid w:val="00B86922"/>
    <w:rsid w:val="00B9066F"/>
    <w:rsid w:val="00BD6A68"/>
    <w:rsid w:val="00BF1820"/>
    <w:rsid w:val="00BF6367"/>
    <w:rsid w:val="00C1392C"/>
    <w:rsid w:val="00C13E4B"/>
    <w:rsid w:val="00C15D48"/>
    <w:rsid w:val="00C33EA7"/>
    <w:rsid w:val="00C403F8"/>
    <w:rsid w:val="00C47FE7"/>
    <w:rsid w:val="00C55E2F"/>
    <w:rsid w:val="00C6009E"/>
    <w:rsid w:val="00C6232D"/>
    <w:rsid w:val="00C642EC"/>
    <w:rsid w:val="00C70AF7"/>
    <w:rsid w:val="00C82BD8"/>
    <w:rsid w:val="00C8527D"/>
    <w:rsid w:val="00C8726E"/>
    <w:rsid w:val="00C951A6"/>
    <w:rsid w:val="00C9640F"/>
    <w:rsid w:val="00CC5DD2"/>
    <w:rsid w:val="00CC7325"/>
    <w:rsid w:val="00CD312E"/>
    <w:rsid w:val="00CE56CF"/>
    <w:rsid w:val="00CE6841"/>
    <w:rsid w:val="00D16D70"/>
    <w:rsid w:val="00D2028D"/>
    <w:rsid w:val="00D23F21"/>
    <w:rsid w:val="00D27330"/>
    <w:rsid w:val="00D2793F"/>
    <w:rsid w:val="00D3007A"/>
    <w:rsid w:val="00D30D0F"/>
    <w:rsid w:val="00D3146C"/>
    <w:rsid w:val="00D40062"/>
    <w:rsid w:val="00D5354E"/>
    <w:rsid w:val="00D5389F"/>
    <w:rsid w:val="00D60CA6"/>
    <w:rsid w:val="00D627C3"/>
    <w:rsid w:val="00D73896"/>
    <w:rsid w:val="00D823D7"/>
    <w:rsid w:val="00D83DCD"/>
    <w:rsid w:val="00D850BA"/>
    <w:rsid w:val="00D9686D"/>
    <w:rsid w:val="00DC0120"/>
    <w:rsid w:val="00DF50DF"/>
    <w:rsid w:val="00DF651B"/>
    <w:rsid w:val="00E06DD8"/>
    <w:rsid w:val="00E103FB"/>
    <w:rsid w:val="00E13C6C"/>
    <w:rsid w:val="00E21BBE"/>
    <w:rsid w:val="00E22328"/>
    <w:rsid w:val="00E27ADA"/>
    <w:rsid w:val="00E32898"/>
    <w:rsid w:val="00E35897"/>
    <w:rsid w:val="00E3746A"/>
    <w:rsid w:val="00E41DF5"/>
    <w:rsid w:val="00E66A18"/>
    <w:rsid w:val="00E728F8"/>
    <w:rsid w:val="00E83440"/>
    <w:rsid w:val="00E94161"/>
    <w:rsid w:val="00E94491"/>
    <w:rsid w:val="00E976EE"/>
    <w:rsid w:val="00EA128B"/>
    <w:rsid w:val="00EA1CF2"/>
    <w:rsid w:val="00EA6271"/>
    <w:rsid w:val="00EB079A"/>
    <w:rsid w:val="00EB1AA6"/>
    <w:rsid w:val="00ED0C45"/>
    <w:rsid w:val="00ED4F47"/>
    <w:rsid w:val="00EE26E6"/>
    <w:rsid w:val="00EE35AF"/>
    <w:rsid w:val="00EE7DAB"/>
    <w:rsid w:val="00EF08EB"/>
    <w:rsid w:val="00EF341D"/>
    <w:rsid w:val="00EF7606"/>
    <w:rsid w:val="00F1292A"/>
    <w:rsid w:val="00F1348E"/>
    <w:rsid w:val="00F14098"/>
    <w:rsid w:val="00F152A2"/>
    <w:rsid w:val="00F16009"/>
    <w:rsid w:val="00F31692"/>
    <w:rsid w:val="00F4279C"/>
    <w:rsid w:val="00F51C1B"/>
    <w:rsid w:val="00F67A67"/>
    <w:rsid w:val="00F71016"/>
    <w:rsid w:val="00F832F6"/>
    <w:rsid w:val="00F83A52"/>
    <w:rsid w:val="00F85091"/>
    <w:rsid w:val="00F97936"/>
    <w:rsid w:val="00FA370E"/>
    <w:rsid w:val="00FB41AC"/>
    <w:rsid w:val="00FC0136"/>
    <w:rsid w:val="00FC0B4F"/>
    <w:rsid w:val="00FC0F03"/>
    <w:rsid w:val="00FC3C3A"/>
    <w:rsid w:val="00FD1B2A"/>
    <w:rsid w:val="00FD20DC"/>
    <w:rsid w:val="00FD517F"/>
    <w:rsid w:val="00FD53DC"/>
    <w:rsid w:val="00FD6EB9"/>
    <w:rsid w:val="00FF0F7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  <w:style w:type="table" w:styleId="TableGridLight">
    <w:name w:val="Grid Table Light"/>
    <w:basedOn w:val="TableNormal"/>
    <w:uiPriority w:val="40"/>
    <w:rsid w:val="000F0B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90E8C5A4-5A2B-44A7-BC96-5DD769EDDD98}"/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D Rossiter</cp:lastModifiedBy>
  <cp:revision>68</cp:revision>
  <dcterms:created xsi:type="dcterms:W3CDTF">2023-07-20T11:26:00Z</dcterms:created>
  <dcterms:modified xsi:type="dcterms:W3CDTF">2023-07-20T12:15:00Z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