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Light"/>
        <w:tblpPr w:leftFromText="180" w:rightFromText="180" w:vertAnchor="page" w:horzAnchor="margin" w:tblpXSpec="center" w:tblpY="181"/>
        <w:tblW w:w="11616" w:type="dxa"/>
        <w:tblLook w:val="04A0" w:firstRow="1" w:lastRow="0" w:firstColumn="1" w:lastColumn="0" w:noHBand="0" w:noVBand="1"/>
      </w:tblPr>
      <w:tblGrid>
        <w:gridCol w:w="4113"/>
        <w:gridCol w:w="1869"/>
        <w:gridCol w:w="1318"/>
        <w:gridCol w:w="492"/>
        <w:gridCol w:w="3824"/>
      </w:tblGrid>
      <w:tr w:rsidR="00545E9B" w:rsidRPr="0046706D" w14:paraId="2DA5EA94" w14:textId="5A69C3DB" w:rsidTr="009F3DCF">
        <w:trPr>
          <w:trHeight w:val="687"/>
        </w:trPr>
        <w:tc>
          <w:tcPr>
            <w:tcW w:w="11616" w:type="dxa"/>
            <w:gridSpan w:val="5"/>
            <w:shd w:val="clear" w:color="auto" w:fill="002060"/>
          </w:tcPr>
          <w:p w14:paraId="268B92CF" w14:textId="3471C599" w:rsidR="00DF651B" w:rsidRPr="00F4279C" w:rsidRDefault="005C12C2" w:rsidP="009F3DC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631768" wp14:editId="298BE122">
                  <wp:simplePos x="0" y="0"/>
                  <wp:positionH relativeFrom="column">
                    <wp:posOffset>6884035</wp:posOffset>
                  </wp:positionH>
                  <wp:positionV relativeFrom="paragraph">
                    <wp:posOffset>0</wp:posOffset>
                  </wp:positionV>
                  <wp:extent cx="391160" cy="390525"/>
                  <wp:effectExtent l="0" t="0" r="8890" b="9525"/>
                  <wp:wrapTight wrapText="bothSides">
                    <wp:wrapPolygon edited="0">
                      <wp:start x="0" y="0"/>
                      <wp:lineTo x="0" y="21073"/>
                      <wp:lineTo x="21039" y="21073"/>
                      <wp:lineTo x="21039" y="0"/>
                      <wp:lineTo x="0" y="0"/>
                    </wp:wrapPolygon>
                  </wp:wrapTight>
                  <wp:docPr id="170413036" name="Picture 170413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9F3DCF">
        <w:trPr>
          <w:trHeight w:val="420"/>
        </w:trPr>
        <w:tc>
          <w:tcPr>
            <w:tcW w:w="4113" w:type="dxa"/>
          </w:tcPr>
          <w:p w14:paraId="51250003" w14:textId="25F8643D" w:rsidR="00DF651B" w:rsidRPr="0046706D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3187" w:type="dxa"/>
            <w:gridSpan w:val="2"/>
          </w:tcPr>
          <w:p w14:paraId="137E618A" w14:textId="1934537C" w:rsidR="00DF651B" w:rsidRPr="0046706D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316" w:type="dxa"/>
            <w:gridSpan w:val="2"/>
          </w:tcPr>
          <w:p w14:paraId="36F9D304" w14:textId="4C495DEF" w:rsidR="00DF651B" w:rsidRPr="0046706D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9F3DCF">
        <w:trPr>
          <w:trHeight w:val="405"/>
        </w:trPr>
        <w:tc>
          <w:tcPr>
            <w:tcW w:w="11616" w:type="dxa"/>
            <w:gridSpan w:val="5"/>
          </w:tcPr>
          <w:p w14:paraId="75090BC7" w14:textId="0BFBB933" w:rsidR="00DF651B" w:rsidRPr="0022462B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2462B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46706D" w14:paraId="006D8491" w14:textId="7715D1F1" w:rsidTr="009F3DCF">
        <w:trPr>
          <w:trHeight w:val="425"/>
        </w:trPr>
        <w:tc>
          <w:tcPr>
            <w:tcW w:w="11616" w:type="dxa"/>
            <w:gridSpan w:val="5"/>
          </w:tcPr>
          <w:tbl>
            <w:tblPr>
              <w:tblStyle w:val="TableGrid"/>
              <w:tblW w:w="11375" w:type="dxa"/>
              <w:tblInd w:w="15" w:type="dxa"/>
              <w:tblLook w:val="04A0" w:firstRow="1" w:lastRow="0" w:firstColumn="1" w:lastColumn="0" w:noHBand="0" w:noVBand="1"/>
            </w:tblPr>
            <w:tblGrid>
              <w:gridCol w:w="3862"/>
              <w:gridCol w:w="7513"/>
            </w:tblGrid>
            <w:tr w:rsidR="00810B56" w14:paraId="0667F051" w14:textId="77777777" w:rsidTr="00FD53DC">
              <w:trPr>
                <w:trHeight w:val="416"/>
              </w:trPr>
              <w:tc>
                <w:tcPr>
                  <w:tcW w:w="11375" w:type="dxa"/>
                  <w:gridSpan w:val="2"/>
                </w:tcPr>
                <w:p w14:paraId="077DF68B" w14:textId="301D0308" w:rsidR="00810B56" w:rsidRPr="00FA370E" w:rsidRDefault="00810B56" w:rsidP="009F3DCF">
                  <w:pPr>
                    <w:framePr w:hSpace="180" w:wrap="around" w:vAnchor="page" w:hAnchor="margin" w:xAlign="center" w:y="181"/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noProof/>
                      <w:u w:val="single"/>
                    </w:rPr>
                  </w:pPr>
                  <w:r w:rsidRPr="00FA370E">
                    <w:rPr>
                      <w:rFonts w:ascii="Lucida Sans Unicode" w:hAnsi="Lucida Sans Unicode" w:cs="Lucida Sans Unicode"/>
                      <w:b/>
                      <w:bCs/>
                      <w:noProof/>
                      <w:color w:val="002060"/>
                      <w:u w:val="single"/>
                    </w:rPr>
                    <w:t>Unit 1. Collection of Data</w:t>
                  </w:r>
                </w:p>
              </w:tc>
            </w:tr>
            <w:tr w:rsidR="00810B56" w14:paraId="20C5C08A" w14:textId="77777777" w:rsidTr="001062A3">
              <w:trPr>
                <w:trHeight w:val="1125"/>
              </w:trPr>
              <w:tc>
                <w:tcPr>
                  <w:tcW w:w="3862" w:type="dxa"/>
                </w:tcPr>
                <w:p w14:paraId="3F3B741F" w14:textId="4BFF65E9" w:rsidR="00810B56" w:rsidRPr="00FA370E" w:rsidRDefault="00F16009" w:rsidP="009F3DCF">
                  <w:pPr>
                    <w:framePr w:hSpace="180" w:wrap="around" w:vAnchor="page" w:hAnchor="margin" w:xAlign="center" w:y="181"/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FA370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Unit 1c. </w:t>
                  </w:r>
                  <w:r w:rsidR="00D2793F" w:rsidRPr="00FA370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Planning and Collecting Data</w:t>
                  </w:r>
                </w:p>
              </w:tc>
              <w:tc>
                <w:tcPr>
                  <w:tcW w:w="7513" w:type="dxa"/>
                </w:tcPr>
                <w:p w14:paraId="08EE6E74" w14:textId="77777777" w:rsidR="00810B56" w:rsidRDefault="00477D5B" w:rsidP="009F3DCF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FA370E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understand that data can be collected by experiment, simulation, reference, census and sampling.</w:t>
                  </w:r>
                </w:p>
                <w:p w14:paraId="6B2D3FFD" w14:textId="77777777" w:rsidR="00FA370E" w:rsidRDefault="009E0695" w:rsidP="009F3DCF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be able to design a simple data collection sheet</w:t>
                  </w:r>
                  <w:r w:rsidR="00D3146C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.</w:t>
                  </w:r>
                </w:p>
                <w:p w14:paraId="70EFBB8C" w14:textId="77777777" w:rsidR="00D3146C" w:rsidRDefault="00D3146C" w:rsidP="009F3DCF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To be able to </w:t>
                  </w:r>
                  <w:r w:rsidR="001062A3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recognise the suitability of questions.</w:t>
                  </w:r>
                </w:p>
                <w:p w14:paraId="2D1A6BA0" w14:textId="77777777" w:rsidR="001062A3" w:rsidRDefault="001062A3" w:rsidP="009F3DCF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understand the advantages of a pilot survey.</w:t>
                  </w:r>
                </w:p>
                <w:p w14:paraId="66E2AAF7" w14:textId="142A3B37" w:rsidR="001062A3" w:rsidRPr="00FA370E" w:rsidRDefault="001062A3" w:rsidP="009F3DCF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be able to use the random response method for sensitive questions.</w:t>
                  </w:r>
                </w:p>
              </w:tc>
            </w:tr>
          </w:tbl>
          <w:p w14:paraId="1B24061C" w14:textId="5669F9C2" w:rsidR="00C55E2F" w:rsidRPr="00C55E2F" w:rsidRDefault="00C55E2F" w:rsidP="009F3DC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9F3DCF">
        <w:trPr>
          <w:trHeight w:val="215"/>
        </w:trPr>
        <w:tc>
          <w:tcPr>
            <w:tcW w:w="11616" w:type="dxa"/>
            <w:gridSpan w:val="5"/>
          </w:tcPr>
          <w:p w14:paraId="5705B60F" w14:textId="28DE7305" w:rsidR="00DF651B" w:rsidRPr="0022462B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2462B">
              <w:rPr>
                <w:rFonts w:ascii="Century Gothic" w:hAnsi="Century Gothic"/>
                <w:color w:val="002060"/>
                <w:sz w:val="20"/>
                <w:szCs w:val="20"/>
              </w:rPr>
              <w:t>How will I be assessed</w:t>
            </w:r>
            <w:r w:rsidR="0022462B" w:rsidRPr="0022462B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</w:tc>
      </w:tr>
      <w:tr w:rsidR="00545E9B" w:rsidRPr="0046706D" w14:paraId="4FC946E2" w14:textId="112636B1" w:rsidTr="009F3DCF">
        <w:trPr>
          <w:trHeight w:val="353"/>
        </w:trPr>
        <w:tc>
          <w:tcPr>
            <w:tcW w:w="11616" w:type="dxa"/>
            <w:gridSpan w:val="5"/>
          </w:tcPr>
          <w:p w14:paraId="020CE498" w14:textId="7BAB8CB9" w:rsidR="00DF651B" w:rsidRPr="00051660" w:rsidRDefault="00A73471" w:rsidP="009F3DC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051660">
              <w:rPr>
                <w:rFonts w:ascii="Century Gothic" w:hAnsi="Century Gothic"/>
                <w:color w:val="002060"/>
                <w:sz w:val="20"/>
                <w:szCs w:val="20"/>
              </w:rPr>
              <w:t>Retrieval Tasks</w:t>
            </w:r>
            <w:r w:rsidR="00477D5B" w:rsidRPr="0005166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051660">
              <w:rPr>
                <w:rFonts w:ascii="Century Gothic" w:hAnsi="Century Gothic"/>
                <w:color w:val="002060"/>
                <w:sz w:val="20"/>
                <w:szCs w:val="20"/>
              </w:rPr>
              <w:t>Exit Tickets</w:t>
            </w:r>
            <w:r w:rsidR="00477D5B" w:rsidRPr="0005166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286CD3" w:rsidRPr="0005166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Topic Test at the end of the </w:t>
            </w:r>
            <w:r w:rsidR="00C82BD8" w:rsidRPr="00051660">
              <w:rPr>
                <w:rFonts w:ascii="Century Gothic" w:hAnsi="Century Gothic"/>
                <w:color w:val="002060"/>
                <w:sz w:val="20"/>
                <w:szCs w:val="20"/>
              </w:rPr>
              <w:t>half term.</w:t>
            </w:r>
          </w:p>
        </w:tc>
      </w:tr>
      <w:tr w:rsidR="00545E9B" w:rsidRPr="0046706D" w14:paraId="03681DD0" w14:textId="43AA48DA" w:rsidTr="009F3DCF">
        <w:trPr>
          <w:trHeight w:val="268"/>
        </w:trPr>
        <w:tc>
          <w:tcPr>
            <w:tcW w:w="11616" w:type="dxa"/>
            <w:gridSpan w:val="5"/>
          </w:tcPr>
          <w:p w14:paraId="76B99E6C" w14:textId="4812029A" w:rsidR="00DF651B" w:rsidRPr="0022462B" w:rsidRDefault="00DF651B" w:rsidP="009F3DCF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2462B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22462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012FA6D1" w14:textId="77777777" w:rsidTr="009F3DCF">
        <w:trPr>
          <w:trHeight w:val="3223"/>
        </w:trPr>
        <w:tc>
          <w:tcPr>
            <w:tcW w:w="11616" w:type="dxa"/>
            <w:gridSpan w:val="5"/>
          </w:tcPr>
          <w:p w14:paraId="5D5A731A" w14:textId="75E3B18A" w:rsidR="0041558F" w:rsidRPr="00E21BBE" w:rsidRDefault="006D2DC6" w:rsidP="009F3DC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21BBE">
              <w:rPr>
                <w:rFonts w:ascii="Century Gothic" w:hAnsi="Century Gothic"/>
                <w:color w:val="002060"/>
                <w:sz w:val="20"/>
                <w:szCs w:val="20"/>
              </w:rPr>
              <w:t>Can You</w:t>
            </w:r>
            <w:r w:rsidR="00207850" w:rsidRPr="00E21BBE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0A490ACF" w14:textId="2BB13515" w:rsidR="00D40062" w:rsidRPr="00CC5DD2" w:rsidRDefault="00D5389F" w:rsidP="009F3DCF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If you wanted to </w:t>
            </w:r>
            <w:r w:rsidR="00162CCF"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investigate the average temperature per year against the </w:t>
            </w:r>
            <w:r w:rsidR="00E103FB"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change in sea level</w:t>
            </w:r>
            <w:r w:rsidR="00F67A67"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, what would be a good hypothesis?</w:t>
            </w:r>
          </w:p>
          <w:p w14:paraId="7B8ADE98" w14:textId="165B3323" w:rsidR="00F67A67" w:rsidRPr="00CC5DD2" w:rsidRDefault="00CE6841" w:rsidP="009F3DCF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867488">
              <w:rPr>
                <w:rFonts w:ascii="Century Gothic" w:hAnsi="Century Gothic"/>
                <w:noProof/>
                <w:color w:val="002060"/>
              </w:rPr>
              <w:t>Discuss whether or not this would be an appropriate question for a questionnaire</w:t>
            </w:r>
            <w:r w:rsidR="00CC5DD2" w:rsidRPr="00867488">
              <w:rPr>
                <w:rFonts w:ascii="Century Gothic" w:hAnsi="Century Gothic"/>
                <w:noProof/>
                <w:color w:val="002060"/>
              </w:rPr>
              <w:t>:</w:t>
            </w:r>
            <w:r w:rsidR="00CC5DD2" w:rsidRPr="00CC5DD2">
              <w:rPr>
                <w:noProof/>
                <w:color w:val="002060"/>
              </w:rPr>
              <w:t xml:space="preserve"> </w:t>
            </w:r>
            <w:r w:rsidR="00CC5DD2" w:rsidRPr="00CC5DD2">
              <w:rPr>
                <w:noProof/>
                <w:color w:val="002060"/>
              </w:rPr>
              <w:drawing>
                <wp:inline distT="0" distB="0" distL="0" distR="0" wp14:anchorId="188DBEF9" wp14:editId="1F32ABCA">
                  <wp:extent cx="3590925" cy="564865"/>
                  <wp:effectExtent l="0" t="0" r="0" b="6985"/>
                  <wp:docPr id="17936164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1649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757" cy="57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8FE40" w14:textId="2E31B108" w:rsidR="00867488" w:rsidRDefault="00501D35" w:rsidP="009F3DCF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Here are the weights of 8 cats:</w:t>
            </w:r>
          </w:p>
          <w:tbl>
            <w:tblPr>
              <w:tblStyle w:val="TableGrid"/>
              <w:tblW w:w="0" w:type="auto"/>
              <w:tblInd w:w="833" w:type="dxa"/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4"/>
              <w:gridCol w:w="1314"/>
              <w:gridCol w:w="1314"/>
              <w:gridCol w:w="1314"/>
            </w:tblGrid>
            <w:tr w:rsidR="00FC0136" w14:paraId="3EC6B71A" w14:textId="77777777" w:rsidTr="00051660">
              <w:trPr>
                <w:trHeight w:val="240"/>
              </w:trPr>
              <w:tc>
                <w:tcPr>
                  <w:tcW w:w="1313" w:type="dxa"/>
                </w:tcPr>
                <w:p w14:paraId="7F45FBCB" w14:textId="6D7D1CC4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1313" w:type="dxa"/>
                </w:tcPr>
                <w:p w14:paraId="3AD985BF" w14:textId="5E3CE615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1313" w:type="dxa"/>
                </w:tcPr>
                <w:p w14:paraId="45ECB28C" w14:textId="5B8753EB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1313" w:type="dxa"/>
                </w:tcPr>
                <w:p w14:paraId="248A8D9C" w14:textId="348BA360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8.6</w:t>
                  </w:r>
                </w:p>
              </w:tc>
              <w:tc>
                <w:tcPr>
                  <w:tcW w:w="1314" w:type="dxa"/>
                </w:tcPr>
                <w:p w14:paraId="726770F6" w14:textId="4F92F37E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1314" w:type="dxa"/>
                </w:tcPr>
                <w:p w14:paraId="05657EAA" w14:textId="32F77C1F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1314" w:type="dxa"/>
                </w:tcPr>
                <w:p w14:paraId="21B8E573" w14:textId="36CB8FF7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1314" w:type="dxa"/>
                </w:tcPr>
                <w:p w14:paraId="4D472E44" w14:textId="237454E5" w:rsidR="00FC0136" w:rsidRDefault="00FC0136" w:rsidP="00520971">
                  <w:pPr>
                    <w:pStyle w:val="ListParagraph"/>
                    <w:framePr w:hSpace="180" w:wrap="around" w:vAnchor="page" w:hAnchor="margin" w:xAlign="center" w:y="181"/>
                    <w:ind w:left="0"/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cs="Calibri Light"/>
                      <w:color w:val="002060"/>
                      <w:sz w:val="20"/>
                      <w:szCs w:val="20"/>
                    </w:rPr>
                    <w:t>4.0</w:t>
                  </w:r>
                </w:p>
              </w:tc>
            </w:tr>
          </w:tbl>
          <w:p w14:paraId="45D57D50" w14:textId="1529E80A" w:rsidR="00501D35" w:rsidRDefault="00697951" w:rsidP="009F3DCF">
            <w:pPr>
              <w:pStyle w:val="ListParagraph"/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Identify the outlier.</w:t>
            </w:r>
          </w:p>
          <w:p w14:paraId="32E11D59" w14:textId="555AC3AF" w:rsidR="0041558F" w:rsidRPr="007F2F86" w:rsidRDefault="005E6C47" w:rsidP="009F3DCF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A</w:t>
            </w:r>
            <w:r w:rsidR="00E66A18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n</w:t>
            </w:r>
            <w: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 </w:t>
            </w:r>
            <w:r w:rsidR="00E27ADA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economist wants to investigate how many people avoid paying taxes. They use a random response </w:t>
            </w:r>
            <w:r w:rsidR="00E66A18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question to collect data. Explain why this is a suitable technique to use,</w:t>
            </w:r>
          </w:p>
        </w:tc>
      </w:tr>
      <w:tr w:rsidR="00545E9B" w:rsidRPr="0046706D" w14:paraId="386A19A0" w14:textId="77777777" w:rsidTr="009F3DCF">
        <w:trPr>
          <w:trHeight w:val="212"/>
        </w:trPr>
        <w:tc>
          <w:tcPr>
            <w:tcW w:w="5982" w:type="dxa"/>
            <w:gridSpan w:val="2"/>
          </w:tcPr>
          <w:p w14:paraId="7A5E92D9" w14:textId="77777777" w:rsidR="00DF651B" w:rsidRPr="0022462B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2462B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634" w:type="dxa"/>
            <w:gridSpan w:val="3"/>
          </w:tcPr>
          <w:p w14:paraId="605BAF8A" w14:textId="7CBB5BAC" w:rsidR="00DF651B" w:rsidRPr="0022462B" w:rsidRDefault="00DF651B" w:rsidP="009F3DCF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2462B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46706D" w14:paraId="513401B3" w14:textId="49FF942A" w:rsidTr="009F3DCF">
        <w:trPr>
          <w:trHeight w:val="1598"/>
        </w:trPr>
        <w:tc>
          <w:tcPr>
            <w:tcW w:w="5982" w:type="dxa"/>
            <w:gridSpan w:val="2"/>
          </w:tcPr>
          <w:p w14:paraId="6C1E3FF1" w14:textId="056BDA02" w:rsidR="00B86692" w:rsidRPr="00427EFB" w:rsidRDefault="00FD6EB9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 both Key Stage 3 and 4 (GCSE Maths), students will have encountered </w:t>
            </w:r>
            <w:r w:rsidR="00D83DCD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types of data and should be familiar with specific types such as qualitative/quantitative data</w:t>
            </w:r>
            <w:r w:rsidR="00C9640F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as well as recognising the difference between discrete and continuous data.</w:t>
            </w:r>
          </w:p>
        </w:tc>
        <w:tc>
          <w:tcPr>
            <w:tcW w:w="5634" w:type="dxa"/>
            <w:gridSpan w:val="3"/>
          </w:tcPr>
          <w:p w14:paraId="65AD4E5E" w14:textId="77777777" w:rsidR="007E5E01" w:rsidRPr="00427EFB" w:rsidRDefault="00A369A9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27EFB">
              <w:rPr>
                <w:rFonts w:ascii="Century Gothic" w:hAnsi="Century Gothic"/>
                <w:color w:val="002060"/>
                <w:sz w:val="18"/>
                <w:szCs w:val="18"/>
              </w:rPr>
              <w:t>Understanding the different types of dat</w:t>
            </w:r>
            <w:r w:rsidR="002E3C55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a, how to collect them, their advantages and disadvantages is an essential part of the Data Handling Cycle.</w:t>
            </w:r>
          </w:p>
          <w:p w14:paraId="6CE3DDB5" w14:textId="06A04C54" w:rsidR="004B0741" w:rsidRPr="00427EFB" w:rsidRDefault="00C6232D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27EFB">
              <w:rPr>
                <w:rFonts w:ascii="Century Gothic" w:hAnsi="Century Gothic"/>
                <w:color w:val="002060"/>
                <w:sz w:val="18"/>
                <w:szCs w:val="18"/>
              </w:rPr>
              <w:t>Statistical</w:t>
            </w:r>
            <w:r w:rsidR="00D2028D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enquiry, including data collection </w:t>
            </w:r>
            <w:r w:rsidR="000A0B1B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is essential in some sciences including Psychology, Biology</w:t>
            </w:r>
            <w:r w:rsidR="00C403F8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, Chemistry and Physics</w:t>
            </w:r>
            <w:r w:rsidR="000A0B1B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as well as having a</w:t>
            </w:r>
            <w:r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n </w:t>
            </w:r>
            <w:r w:rsidR="00F71016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important role</w:t>
            </w:r>
            <w:r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in Geography and </w:t>
            </w:r>
            <w:r w:rsidR="00C403F8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Business Studies. It is also </w:t>
            </w:r>
            <w:r w:rsidR="00CC7325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a core topic in A-Level Maths</w:t>
            </w:r>
            <w:r w:rsidR="00FD6EB9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</w:tr>
      <w:tr w:rsidR="00545E9B" w:rsidRPr="0046706D" w14:paraId="4EB899E3" w14:textId="77777777" w:rsidTr="00520971">
        <w:trPr>
          <w:trHeight w:val="75"/>
        </w:trPr>
        <w:tc>
          <w:tcPr>
            <w:tcW w:w="7792" w:type="dxa"/>
            <w:gridSpan w:val="4"/>
          </w:tcPr>
          <w:p w14:paraId="7C7B21A4" w14:textId="029EB021" w:rsidR="00DF651B" w:rsidRPr="0022462B" w:rsidRDefault="00F152A2" w:rsidP="009F3DCF">
            <w:pPr>
              <w:spacing w:after="12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2462B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22462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22462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3824" w:type="dxa"/>
          </w:tcPr>
          <w:p w14:paraId="1AC69115" w14:textId="2B5570F4" w:rsidR="00DF651B" w:rsidRPr="0022462B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2462B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22462B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22462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3057E5B6" w14:textId="77777777" w:rsidTr="00520971">
        <w:trPr>
          <w:trHeight w:val="1131"/>
        </w:trPr>
        <w:tc>
          <w:tcPr>
            <w:tcW w:w="7792" w:type="dxa"/>
            <w:gridSpan w:val="4"/>
          </w:tcPr>
          <w:p w14:paraId="44C436EA" w14:textId="77777777" w:rsidR="00B55C6E" w:rsidRPr="00520971" w:rsidRDefault="00FC0B4F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 xml:space="preserve">Experiments </w:t>
            </w: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aim to </w:t>
            </w:r>
            <w:r w:rsidR="00676792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measure the effect one variable has on another. They can be </w:t>
            </w:r>
            <w:r w:rsidR="00676792"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laboratory</w:t>
            </w:r>
            <w:r w:rsidR="00676792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experiments</w:t>
            </w:r>
            <w:r w:rsidR="00975DAF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(where the observer aims to control all </w:t>
            </w:r>
            <w:r w:rsidR="00975DAF"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extraneous variables</w:t>
            </w:r>
            <w:r w:rsidR="00EA128B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)</w:t>
            </w:r>
            <w:r w:rsidR="00676792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, </w:t>
            </w:r>
            <w:r w:rsidR="00676792"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field</w:t>
            </w:r>
            <w:r w:rsidR="00676792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  <w:r w:rsidR="0018071B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experiments</w:t>
            </w:r>
            <w:r w:rsidR="00EA128B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(carried out in everyday environments where some measures of control may be implemented),</w:t>
            </w:r>
            <w:r w:rsidR="0018071B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or </w:t>
            </w:r>
            <w:r w:rsidR="0018071B" w:rsidRPr="00520971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natural</w:t>
            </w:r>
            <w:r w:rsidR="0018071B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experiments</w:t>
            </w:r>
            <w:r w:rsidR="00D60CA6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(carried out in natural environments, such as an erupting volcano).</w:t>
            </w:r>
          </w:p>
          <w:p w14:paraId="363B12A4" w14:textId="77777777" w:rsidR="00D60CA6" w:rsidRPr="00520971" w:rsidRDefault="00D60CA6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Simulations</w:t>
            </w: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  <w:r w:rsidR="00BF1820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are a way to model random events </w:t>
            </w:r>
            <w:proofErr w:type="gramStart"/>
            <w:r w:rsidR="00BF1820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in order to</w:t>
            </w:r>
            <w:proofErr w:type="gramEnd"/>
            <w:r w:rsidR="00BF1820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collect data. </w:t>
            </w:r>
          </w:p>
          <w:p w14:paraId="2996B52E" w14:textId="77777777" w:rsidR="00C15D48" w:rsidRPr="00520971" w:rsidRDefault="00C15D48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Questionnaires and interviews</w:t>
            </w: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are typical sources of primary data that aim to collect data over the phone, by post or in person.</w:t>
            </w:r>
            <w:r w:rsidR="00E728F8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It is important to consider questions carefully to avoid </w:t>
            </w:r>
            <w:r w:rsidR="00E728F8"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 xml:space="preserve">bias </w:t>
            </w:r>
            <w:r w:rsidR="00E728F8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and ensure </w:t>
            </w:r>
            <w:r w:rsidR="005F4097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subjects that the ability to give an accurate response.</w:t>
            </w:r>
          </w:p>
          <w:p w14:paraId="270C7599" w14:textId="77777777" w:rsidR="005F4097" w:rsidRPr="00520971" w:rsidRDefault="005F4097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The </w:t>
            </w:r>
            <w:r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Random response method</w:t>
            </w: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  <w:r w:rsidR="00FD1B2A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uses a random event, such as a coin flip to ensure people answering sensitive questions remain anonymous.</w:t>
            </w:r>
          </w:p>
          <w:p w14:paraId="6FA1F093" w14:textId="77777777" w:rsidR="00044D6B" w:rsidRPr="00520971" w:rsidRDefault="00044D6B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 </w:t>
            </w:r>
            <w:r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Pilot study</w:t>
            </w: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is often used as a </w:t>
            </w:r>
            <w:proofErr w:type="gramStart"/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small scale</w:t>
            </w:r>
            <w:proofErr w:type="gramEnd"/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study </w:t>
            </w:r>
            <w:r w:rsidR="00366104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used to test the suitability of a questionnaire.</w:t>
            </w:r>
          </w:p>
          <w:p w14:paraId="04B71273" w14:textId="611B5A76" w:rsidR="00366104" w:rsidRPr="00C6009E" w:rsidRDefault="00F85091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Once data has been collected, it often needs </w:t>
            </w:r>
            <w:r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cleaning</w:t>
            </w:r>
            <w:r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to ensure all answers are in the same format (15 vs fifteen)</w:t>
            </w:r>
            <w:r w:rsidR="0022462B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as well as potentially ignoring </w:t>
            </w:r>
            <w:r w:rsidR="0022462B" w:rsidRPr="00520971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outliers</w:t>
            </w:r>
            <w:r w:rsidR="0022462B" w:rsidRPr="00520971">
              <w:rPr>
                <w:rFonts w:ascii="Calibri Light" w:hAnsi="Calibri Light" w:cs="Calibri Light"/>
                <w:color w:val="002060"/>
                <w:sz w:val="20"/>
                <w:szCs w:val="20"/>
              </w:rPr>
              <w:t>.</w:t>
            </w:r>
          </w:p>
        </w:tc>
        <w:tc>
          <w:tcPr>
            <w:tcW w:w="3824" w:type="dxa"/>
          </w:tcPr>
          <w:p w14:paraId="67CEEB72" w14:textId="77777777" w:rsidR="0035389D" w:rsidRPr="00427EFB" w:rsidRDefault="0050781C" w:rsidP="009F3DCF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27EFB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Types of Experiment:</w:t>
            </w:r>
            <w:r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9307B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Experiment, Explanatory, Response, Extraneous, </w:t>
            </w:r>
            <w:r w:rsidR="009E3180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Simulation</w:t>
            </w:r>
            <w:r w:rsidR="0035389D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. </w:t>
            </w:r>
          </w:p>
          <w:p w14:paraId="01011E4E" w14:textId="77777777" w:rsidR="0035389D" w:rsidRPr="00427EFB" w:rsidRDefault="0035389D" w:rsidP="009F3DCF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45FA5BD4" w14:textId="5CA65F3A" w:rsidR="0066510B" w:rsidRPr="00427EFB" w:rsidRDefault="0035389D" w:rsidP="009F3DCF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27EFB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Types of Questionnaires:</w:t>
            </w:r>
            <w:r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9E3180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Random Response, Pilot Study, </w:t>
            </w:r>
            <w:r w:rsidR="00FF1D0E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Outliers, Cleaning Data, Control Group, Matched Pairs</w:t>
            </w:r>
            <w:r w:rsidR="0066510B" w:rsidRPr="00427EFB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  <w:r w:rsidR="00E32898" w:rsidRPr="00427E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  <w:p w14:paraId="44A60718" w14:textId="77777777" w:rsidR="0066510B" w:rsidRPr="00427EFB" w:rsidRDefault="0066510B" w:rsidP="009F3DCF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E4B786D" w14:textId="768F7FAE" w:rsidR="00E3746A" w:rsidRPr="003F5D2D" w:rsidRDefault="0066510B" w:rsidP="009F3DCF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27EFB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Hypotheses and Investigations</w:t>
            </w:r>
            <w:r w:rsidRPr="00C6009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: </w:t>
            </w:r>
            <w:r w:rsidR="00E32898" w:rsidRPr="00C6009E">
              <w:rPr>
                <w:rFonts w:ascii="Century Gothic" w:hAnsi="Century Gothic"/>
                <w:color w:val="002060"/>
                <w:sz w:val="20"/>
                <w:szCs w:val="20"/>
              </w:rPr>
              <w:t>Hypothesis</w:t>
            </w:r>
          </w:p>
        </w:tc>
      </w:tr>
      <w:tr w:rsidR="00545E9B" w:rsidRPr="0046706D" w14:paraId="5B384543" w14:textId="77777777" w:rsidTr="009F3DCF">
        <w:trPr>
          <w:trHeight w:val="405"/>
        </w:trPr>
        <w:tc>
          <w:tcPr>
            <w:tcW w:w="11616" w:type="dxa"/>
            <w:gridSpan w:val="5"/>
          </w:tcPr>
          <w:p w14:paraId="085C626B" w14:textId="31BF2C0F" w:rsidR="001F2C70" w:rsidRPr="0046706D" w:rsidRDefault="001F2C70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13C6C" w:rsidRPr="004A40F9">
              <w:rPr>
                <w:rFonts w:ascii="Century Gothic" w:hAnsi="Century Gothic"/>
                <w:color w:val="002060"/>
                <w:sz w:val="20"/>
                <w:szCs w:val="20"/>
              </w:rPr>
              <w:t>Refer to the knowledge organiser uploaded to Class Charts at the start of the year.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9F3DCF">
      <w:pgSz w:w="11906" w:h="16838" w:code="9"/>
      <w:pgMar w:top="454" w:right="720" w:bottom="45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8A03" w14:textId="77777777" w:rsidR="002249BD" w:rsidRDefault="002249BD" w:rsidP="001F2C70">
      <w:pPr>
        <w:spacing w:after="0" w:line="240" w:lineRule="auto"/>
      </w:pPr>
      <w:r>
        <w:separator/>
      </w:r>
    </w:p>
  </w:endnote>
  <w:endnote w:type="continuationSeparator" w:id="0">
    <w:p w14:paraId="77B0E532" w14:textId="77777777" w:rsidR="002249BD" w:rsidRDefault="002249BD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0302" w14:textId="77777777" w:rsidR="002249BD" w:rsidRDefault="002249BD" w:rsidP="001F2C70">
      <w:pPr>
        <w:spacing w:after="0" w:line="240" w:lineRule="auto"/>
      </w:pPr>
      <w:r>
        <w:separator/>
      </w:r>
    </w:p>
  </w:footnote>
  <w:footnote w:type="continuationSeparator" w:id="0">
    <w:p w14:paraId="17F4D252" w14:textId="77777777" w:rsidR="002249BD" w:rsidRDefault="002249BD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7EC"/>
    <w:multiLevelType w:val="hybridMultilevel"/>
    <w:tmpl w:val="913C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AF"/>
    <w:multiLevelType w:val="hybridMultilevel"/>
    <w:tmpl w:val="7752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818EA"/>
    <w:multiLevelType w:val="hybridMultilevel"/>
    <w:tmpl w:val="EC96C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0BE7"/>
    <w:multiLevelType w:val="hybridMultilevel"/>
    <w:tmpl w:val="B1FE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5C5"/>
    <w:multiLevelType w:val="hybridMultilevel"/>
    <w:tmpl w:val="44A2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4"/>
  </w:num>
  <w:num w:numId="2" w16cid:durableId="1128552435">
    <w:abstractNumId w:val="10"/>
  </w:num>
  <w:num w:numId="3" w16cid:durableId="510877750">
    <w:abstractNumId w:val="7"/>
  </w:num>
  <w:num w:numId="4" w16cid:durableId="835222441">
    <w:abstractNumId w:val="5"/>
  </w:num>
  <w:num w:numId="5" w16cid:durableId="867646675">
    <w:abstractNumId w:val="3"/>
  </w:num>
  <w:num w:numId="6" w16cid:durableId="1399134034">
    <w:abstractNumId w:val="8"/>
  </w:num>
  <w:num w:numId="7" w16cid:durableId="1624774626">
    <w:abstractNumId w:val="2"/>
  </w:num>
  <w:num w:numId="8" w16cid:durableId="362681773">
    <w:abstractNumId w:val="6"/>
  </w:num>
  <w:num w:numId="9" w16cid:durableId="1551068926">
    <w:abstractNumId w:val="9"/>
  </w:num>
  <w:num w:numId="10" w16cid:durableId="1074936684">
    <w:abstractNumId w:val="12"/>
  </w:num>
  <w:num w:numId="11" w16cid:durableId="2024092055">
    <w:abstractNumId w:val="4"/>
  </w:num>
  <w:num w:numId="12" w16cid:durableId="1108697077">
    <w:abstractNumId w:val="1"/>
  </w:num>
  <w:num w:numId="13" w16cid:durableId="233203894">
    <w:abstractNumId w:val="11"/>
  </w:num>
  <w:num w:numId="14" w16cid:durableId="1754862902">
    <w:abstractNumId w:val="13"/>
  </w:num>
  <w:num w:numId="15" w16cid:durableId="111459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04EE2"/>
    <w:rsid w:val="0004158E"/>
    <w:rsid w:val="00044D6B"/>
    <w:rsid w:val="0005075A"/>
    <w:rsid w:val="00051660"/>
    <w:rsid w:val="0006771C"/>
    <w:rsid w:val="00073905"/>
    <w:rsid w:val="000961FB"/>
    <w:rsid w:val="000A0B1B"/>
    <w:rsid w:val="000C4601"/>
    <w:rsid w:val="000F0B8F"/>
    <w:rsid w:val="000F1B29"/>
    <w:rsid w:val="001062A3"/>
    <w:rsid w:val="0013379A"/>
    <w:rsid w:val="00162CCF"/>
    <w:rsid w:val="0018071B"/>
    <w:rsid w:val="00185BB3"/>
    <w:rsid w:val="00197E52"/>
    <w:rsid w:val="001A0C14"/>
    <w:rsid w:val="001E49D3"/>
    <w:rsid w:val="001F2C70"/>
    <w:rsid w:val="002052FE"/>
    <w:rsid w:val="00207850"/>
    <w:rsid w:val="0021493B"/>
    <w:rsid w:val="002151AC"/>
    <w:rsid w:val="0022462B"/>
    <w:rsid w:val="002249BD"/>
    <w:rsid w:val="0023031D"/>
    <w:rsid w:val="00231629"/>
    <w:rsid w:val="00286CD3"/>
    <w:rsid w:val="00295EF9"/>
    <w:rsid w:val="002C368A"/>
    <w:rsid w:val="002E35BD"/>
    <w:rsid w:val="002E3C55"/>
    <w:rsid w:val="00311F46"/>
    <w:rsid w:val="00316BEF"/>
    <w:rsid w:val="003458C0"/>
    <w:rsid w:val="00346D3E"/>
    <w:rsid w:val="0035389D"/>
    <w:rsid w:val="0036087F"/>
    <w:rsid w:val="003653A3"/>
    <w:rsid w:val="00366104"/>
    <w:rsid w:val="00383915"/>
    <w:rsid w:val="003C2553"/>
    <w:rsid w:val="003D0FF9"/>
    <w:rsid w:val="003D152C"/>
    <w:rsid w:val="003F5D2D"/>
    <w:rsid w:val="00400F32"/>
    <w:rsid w:val="0041558F"/>
    <w:rsid w:val="00427EFB"/>
    <w:rsid w:val="004414A5"/>
    <w:rsid w:val="00454501"/>
    <w:rsid w:val="00461438"/>
    <w:rsid w:val="00466303"/>
    <w:rsid w:val="0046706D"/>
    <w:rsid w:val="0047528D"/>
    <w:rsid w:val="00477D5B"/>
    <w:rsid w:val="00492197"/>
    <w:rsid w:val="004A13C9"/>
    <w:rsid w:val="004A6C49"/>
    <w:rsid w:val="004B0741"/>
    <w:rsid w:val="004C1360"/>
    <w:rsid w:val="004D2248"/>
    <w:rsid w:val="004E3BB7"/>
    <w:rsid w:val="00501D35"/>
    <w:rsid w:val="00505CF5"/>
    <w:rsid w:val="0050759B"/>
    <w:rsid w:val="0050781C"/>
    <w:rsid w:val="00520971"/>
    <w:rsid w:val="00526BF0"/>
    <w:rsid w:val="00533FB6"/>
    <w:rsid w:val="00545E9B"/>
    <w:rsid w:val="005506AC"/>
    <w:rsid w:val="00590289"/>
    <w:rsid w:val="00590DE2"/>
    <w:rsid w:val="00592233"/>
    <w:rsid w:val="0059307B"/>
    <w:rsid w:val="005974B7"/>
    <w:rsid w:val="005B2CB8"/>
    <w:rsid w:val="005B6017"/>
    <w:rsid w:val="005C12C2"/>
    <w:rsid w:val="005C1618"/>
    <w:rsid w:val="005E6C47"/>
    <w:rsid w:val="005F4097"/>
    <w:rsid w:val="0062745F"/>
    <w:rsid w:val="00653313"/>
    <w:rsid w:val="00654C94"/>
    <w:rsid w:val="00662A88"/>
    <w:rsid w:val="0066510B"/>
    <w:rsid w:val="00670AF6"/>
    <w:rsid w:val="006744BC"/>
    <w:rsid w:val="00676792"/>
    <w:rsid w:val="0068698C"/>
    <w:rsid w:val="00693B5E"/>
    <w:rsid w:val="0069554B"/>
    <w:rsid w:val="00697951"/>
    <w:rsid w:val="006B79B4"/>
    <w:rsid w:val="006D2DC6"/>
    <w:rsid w:val="00727CB6"/>
    <w:rsid w:val="0073535A"/>
    <w:rsid w:val="00771274"/>
    <w:rsid w:val="0079074A"/>
    <w:rsid w:val="00793CF2"/>
    <w:rsid w:val="007A1070"/>
    <w:rsid w:val="007A2AF9"/>
    <w:rsid w:val="007A604B"/>
    <w:rsid w:val="007B58AF"/>
    <w:rsid w:val="007D4A06"/>
    <w:rsid w:val="007E5E01"/>
    <w:rsid w:val="007E7676"/>
    <w:rsid w:val="007F2F86"/>
    <w:rsid w:val="00804256"/>
    <w:rsid w:val="008069C7"/>
    <w:rsid w:val="00810B56"/>
    <w:rsid w:val="00816391"/>
    <w:rsid w:val="0084772D"/>
    <w:rsid w:val="00865D76"/>
    <w:rsid w:val="00867488"/>
    <w:rsid w:val="00872674"/>
    <w:rsid w:val="00885218"/>
    <w:rsid w:val="0088742F"/>
    <w:rsid w:val="00887564"/>
    <w:rsid w:val="008A3B02"/>
    <w:rsid w:val="008A71EF"/>
    <w:rsid w:val="008C17C2"/>
    <w:rsid w:val="008F7446"/>
    <w:rsid w:val="00911315"/>
    <w:rsid w:val="009279AF"/>
    <w:rsid w:val="00947A9F"/>
    <w:rsid w:val="00975DAF"/>
    <w:rsid w:val="00996E7A"/>
    <w:rsid w:val="009A604E"/>
    <w:rsid w:val="009C7B82"/>
    <w:rsid w:val="009E0695"/>
    <w:rsid w:val="009E1887"/>
    <w:rsid w:val="009E3180"/>
    <w:rsid w:val="009E4CF8"/>
    <w:rsid w:val="009E74AA"/>
    <w:rsid w:val="009F3DCF"/>
    <w:rsid w:val="00A134E2"/>
    <w:rsid w:val="00A2746C"/>
    <w:rsid w:val="00A350B1"/>
    <w:rsid w:val="00A369A9"/>
    <w:rsid w:val="00A73471"/>
    <w:rsid w:val="00AA133D"/>
    <w:rsid w:val="00AA1C7D"/>
    <w:rsid w:val="00AC60DC"/>
    <w:rsid w:val="00AD0941"/>
    <w:rsid w:val="00AE60FE"/>
    <w:rsid w:val="00B51296"/>
    <w:rsid w:val="00B55C6E"/>
    <w:rsid w:val="00B6620D"/>
    <w:rsid w:val="00B70099"/>
    <w:rsid w:val="00B86692"/>
    <w:rsid w:val="00B86922"/>
    <w:rsid w:val="00B9066F"/>
    <w:rsid w:val="00BD6A68"/>
    <w:rsid w:val="00BF1820"/>
    <w:rsid w:val="00BF6367"/>
    <w:rsid w:val="00C1392C"/>
    <w:rsid w:val="00C13E4B"/>
    <w:rsid w:val="00C15D48"/>
    <w:rsid w:val="00C33EA7"/>
    <w:rsid w:val="00C403F8"/>
    <w:rsid w:val="00C55E2F"/>
    <w:rsid w:val="00C6009E"/>
    <w:rsid w:val="00C6232D"/>
    <w:rsid w:val="00C70AF7"/>
    <w:rsid w:val="00C82BD8"/>
    <w:rsid w:val="00C9640F"/>
    <w:rsid w:val="00CC5DD2"/>
    <w:rsid w:val="00CC7325"/>
    <w:rsid w:val="00CD312E"/>
    <w:rsid w:val="00CE6841"/>
    <w:rsid w:val="00D2028D"/>
    <w:rsid w:val="00D2793F"/>
    <w:rsid w:val="00D3007A"/>
    <w:rsid w:val="00D30D0F"/>
    <w:rsid w:val="00D3146C"/>
    <w:rsid w:val="00D40062"/>
    <w:rsid w:val="00D5354E"/>
    <w:rsid w:val="00D5389F"/>
    <w:rsid w:val="00D60CA6"/>
    <w:rsid w:val="00D73896"/>
    <w:rsid w:val="00D823D7"/>
    <w:rsid w:val="00D83DCD"/>
    <w:rsid w:val="00D9686D"/>
    <w:rsid w:val="00DC0120"/>
    <w:rsid w:val="00DF651B"/>
    <w:rsid w:val="00E06DD8"/>
    <w:rsid w:val="00E103FB"/>
    <w:rsid w:val="00E13C6C"/>
    <w:rsid w:val="00E21BBE"/>
    <w:rsid w:val="00E22328"/>
    <w:rsid w:val="00E27ADA"/>
    <w:rsid w:val="00E32898"/>
    <w:rsid w:val="00E3746A"/>
    <w:rsid w:val="00E41DF5"/>
    <w:rsid w:val="00E66A18"/>
    <w:rsid w:val="00E728F8"/>
    <w:rsid w:val="00E83440"/>
    <w:rsid w:val="00E94161"/>
    <w:rsid w:val="00E94491"/>
    <w:rsid w:val="00EA128B"/>
    <w:rsid w:val="00EA6271"/>
    <w:rsid w:val="00EB079A"/>
    <w:rsid w:val="00ED0C45"/>
    <w:rsid w:val="00ED4F47"/>
    <w:rsid w:val="00EE35AF"/>
    <w:rsid w:val="00EF08EB"/>
    <w:rsid w:val="00EF341D"/>
    <w:rsid w:val="00EF7606"/>
    <w:rsid w:val="00F1348E"/>
    <w:rsid w:val="00F152A2"/>
    <w:rsid w:val="00F16009"/>
    <w:rsid w:val="00F31692"/>
    <w:rsid w:val="00F4279C"/>
    <w:rsid w:val="00F51C1B"/>
    <w:rsid w:val="00F67A67"/>
    <w:rsid w:val="00F71016"/>
    <w:rsid w:val="00F832F6"/>
    <w:rsid w:val="00F83A52"/>
    <w:rsid w:val="00F85091"/>
    <w:rsid w:val="00FA370E"/>
    <w:rsid w:val="00FC0136"/>
    <w:rsid w:val="00FC0B4F"/>
    <w:rsid w:val="00FC0F03"/>
    <w:rsid w:val="00FD1B2A"/>
    <w:rsid w:val="00FD20DC"/>
    <w:rsid w:val="00FD517F"/>
    <w:rsid w:val="00FD53DC"/>
    <w:rsid w:val="00FD6EB9"/>
    <w:rsid w:val="00FF0F7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table" w:styleId="TableGridLight">
    <w:name w:val="Grid Table Light"/>
    <w:basedOn w:val="TableNormal"/>
    <w:uiPriority w:val="40"/>
    <w:rsid w:val="000F0B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2FA17CA9-2257-45C4-8C62-F6DC58739C48}"/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Rossiter</cp:lastModifiedBy>
  <cp:revision>110</cp:revision>
  <dcterms:created xsi:type="dcterms:W3CDTF">2023-07-17T08:21:00Z</dcterms:created>
  <dcterms:modified xsi:type="dcterms:W3CDTF">2023-07-20T12:17:00Z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