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7D" w:rsidRPr="0069427D" w:rsidRDefault="0069427D" w:rsidP="0069427D">
      <w:pPr>
        <w:spacing w:after="0" w:line="240" w:lineRule="auto"/>
        <w:rPr>
          <w:rFonts w:ascii="Times New Roman" w:eastAsia="Times New Roman" w:hAnsi="Times New Roman" w:cs="Times New Roman"/>
          <w:i/>
          <w:color w:val="005689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i/>
          <w:color w:val="333333"/>
          <w:sz w:val="24"/>
          <w:szCs w:val="24"/>
          <w:lang w:eastAsia="en-GB"/>
        </w:rPr>
        <w:fldChar w:fldCharType="begin"/>
      </w:r>
      <w:r w:rsidRPr="0069427D">
        <w:rPr>
          <w:rFonts w:ascii="Georgia" w:eastAsia="Times New Roman" w:hAnsi="Georgia" w:cs="Times New Roman"/>
          <w:i/>
          <w:color w:val="333333"/>
          <w:sz w:val="24"/>
          <w:szCs w:val="24"/>
          <w:lang w:eastAsia="en-GB"/>
        </w:rPr>
        <w:instrText xml:space="preserve"> HYPERLINK "https://www.theguardian.com/media/mind-your-language/2015/jan/30/is-it-time-we-agreed-on-a-gender-neutral-singular-pronoun" \l "img-1" </w:instrText>
      </w:r>
      <w:r w:rsidRPr="0069427D">
        <w:rPr>
          <w:rFonts w:ascii="Georgia" w:eastAsia="Times New Roman" w:hAnsi="Georgia" w:cs="Times New Roman"/>
          <w:i/>
          <w:color w:val="333333"/>
          <w:sz w:val="24"/>
          <w:szCs w:val="24"/>
          <w:lang w:eastAsia="en-GB"/>
        </w:rPr>
        <w:fldChar w:fldCharType="separate"/>
      </w:r>
    </w:p>
    <w:p w:rsidR="0069427D" w:rsidRPr="0069427D" w:rsidRDefault="0069427D" w:rsidP="0069427D">
      <w:pPr>
        <w:spacing w:after="0" w:line="240" w:lineRule="auto"/>
        <w:rPr>
          <w:rFonts w:ascii="Georgia" w:eastAsia="Times New Roman" w:hAnsi="Georgia" w:cs="Times New Roman"/>
          <w:b/>
          <w:i/>
          <w:noProof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b/>
          <w:i/>
          <w:noProof/>
          <w:sz w:val="24"/>
          <w:szCs w:val="24"/>
          <w:lang w:eastAsia="en-GB"/>
        </w:rPr>
        <w:t>Is it time we agreed on a gender-neutral singular pronoun?</w:t>
      </w:r>
    </w:p>
    <w:p w:rsidR="0069427D" w:rsidRPr="0069427D" w:rsidRDefault="0069427D" w:rsidP="0069427D">
      <w:pPr>
        <w:spacing w:after="0" w:line="240" w:lineRule="auto"/>
        <w:rPr>
          <w:rFonts w:ascii="Georgia" w:eastAsia="Times New Roman" w:hAnsi="Georgia" w:cs="Times New Roman"/>
          <w:b/>
          <w:i/>
          <w:noProof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b/>
          <w:i/>
          <w:noProof/>
          <w:sz w:val="24"/>
          <w:szCs w:val="24"/>
          <w:lang w:eastAsia="en-GB"/>
        </w:rPr>
        <w:t>Gary Nunn</w:t>
      </w:r>
    </w:p>
    <w:p w:rsidR="0069427D" w:rsidRPr="0069427D" w:rsidRDefault="0069427D" w:rsidP="006942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i/>
          <w:noProof/>
          <w:sz w:val="24"/>
          <w:szCs w:val="24"/>
          <w:lang w:eastAsia="en-GB"/>
        </w:rPr>
        <w:t>Some argue we need one for socially progressive reasons. Others simply want one to perfect their writing. But so far more than a hundred attempts have failed.</w:t>
      </w:r>
    </w:p>
    <w:p w:rsidR="0069427D" w:rsidRPr="0069427D" w:rsidRDefault="0069427D" w:rsidP="0069427D">
      <w:pPr>
        <w:spacing w:after="0" w:line="240" w:lineRule="auto"/>
        <w:rPr>
          <w:rFonts w:ascii="Georgia" w:eastAsia="Times New Roman" w:hAnsi="Georgia" w:cs="Times New Roman"/>
          <w:i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i/>
          <w:color w:val="333333"/>
          <w:sz w:val="24"/>
          <w:szCs w:val="24"/>
          <w:lang w:eastAsia="en-GB"/>
        </w:rPr>
        <w:fldChar w:fldCharType="end"/>
      </w:r>
      <w:r w:rsidRPr="0069427D">
        <w:rPr>
          <w:rFonts w:ascii="Georgia" w:eastAsia="Times New Roman" w:hAnsi="Georgia" w:cs="Times New Roman"/>
          <w:i/>
          <w:color w:val="333333"/>
          <w:sz w:val="24"/>
          <w:szCs w:val="24"/>
          <w:lang w:eastAsia="en-GB"/>
        </w:rPr>
        <w:t xml:space="preserve">One use for a gender neutral singular pronoun could be to refer to androgynous robots and androids. </w:t>
      </w:r>
    </w:p>
    <w:p w:rsidR="0069427D" w:rsidRPr="0069427D" w:rsidRDefault="0069427D" w:rsidP="0069427D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</w:p>
    <w:p w:rsidR="0069427D" w:rsidRPr="0069427D" w:rsidRDefault="0069427D" w:rsidP="0069427D">
      <w:pPr>
        <w:spacing w:after="0" w:line="240" w:lineRule="auto"/>
        <w:rPr>
          <w:rFonts w:ascii="Helvetica" w:eastAsia="Times New Roman" w:hAnsi="Helvetica" w:cs="Helvetica"/>
          <w:color w:val="767676"/>
          <w:sz w:val="24"/>
          <w:szCs w:val="24"/>
          <w:lang w:eastAsia="en-GB"/>
        </w:rPr>
      </w:pPr>
      <w:r w:rsidRPr="0069427D">
        <w:rPr>
          <w:rFonts w:ascii="Helvetica" w:eastAsia="Times New Roman" w:hAnsi="Helvetica" w:cs="Helvetica"/>
          <w:color w:val="767676"/>
          <w:sz w:val="24"/>
          <w:szCs w:val="24"/>
          <w:lang w:eastAsia="en-GB"/>
        </w:rPr>
        <w:t>Friday 30 January 2015 </w:t>
      </w: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caps/>
          <w:sz w:val="24"/>
          <w:szCs w:val="24"/>
          <w:lang w:eastAsia="en-GB"/>
        </w:rPr>
        <w:t>L</w:t>
      </w:r>
      <w:r w:rsidRPr="0069427D">
        <w:rPr>
          <w:rFonts w:ascii="Georgia" w:eastAsia="Times New Roman" w:hAnsi="Georgia" w:cs="Times New Roman"/>
          <w:sz w:val="24"/>
          <w:szCs w:val="24"/>
          <w:lang w:eastAsia="en-GB"/>
        </w:rPr>
        <w:t>angu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age, like life, feels easier to deal with if we arrange it into binaries: Wrong/right; Gay/straight; Labour/Conservative. Terms lurking between the two poles are often unfairly maligned. We’re often wary of anything that is neither one nor the other: Justifiable homicide; Bisexual; The Liberal Democrats.</w:t>
      </w: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same goes for him/her. We seem far more comfortable when people are either men or women. The reality is different. There are people who self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 xml:space="preserve">-define as neither, as </w:t>
      </w:r>
      <w:proofErr w:type="spell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gender-non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>binary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. To those who see gender as a construct, this makes perfect sense. But the</w:t>
      </w:r>
      <w:bookmarkStart w:id="0" w:name="_GoBack"/>
      <w:bookmarkEnd w:id="0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English language fails to reflect it.</w:t>
      </w: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 universal gender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>-neutral pronoun – something to capture everything between he and she – would resolve this, and other issues. For non-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>atheist progressives, it would give them a gender-neutral God. It could describe androgynous robots. A third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 xml:space="preserve"> person pronoun would also help us hacks with our word counts and copy neatness; writing his/hers every time (for those of us who on principle refuse to default to ‘his’) feels untidy and inelegant.</w:t>
      </w: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For those now considering commenting to </w:t>
      </w:r>
      <w:hyperlink r:id="rId6" w:history="1">
        <w:r w:rsidRPr="0069427D">
          <w:rPr>
            <w:rFonts w:ascii="Georgia" w:eastAsia="Times New Roman" w:hAnsi="Georgia" w:cs="Times New Roman"/>
            <w:color w:val="005689"/>
            <w:sz w:val="24"/>
            <w:szCs w:val="24"/>
            <w:u w:val="single"/>
            <w:lang w:eastAsia="en-GB"/>
          </w:rPr>
          <w:t>suggest that there’s a perfectly fine existing neutral pronoun</w:t>
        </w:r>
      </w:hyperlink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– “they” – remember that pronouns must match both gender and number. So in the case of single individuals, it’s grammatically inaccurate.</w:t>
      </w: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And for those complaining this is a “PC gone mad” linguistic ambush by the modern trans lobby, </w:t>
      </w:r>
      <w:hyperlink r:id="rId7" w:history="1">
        <w:r w:rsidRPr="0069427D">
          <w:rPr>
            <w:rFonts w:ascii="Georgia" w:eastAsia="Times New Roman" w:hAnsi="Georgia" w:cs="Times New Roman"/>
            <w:color w:val="005689"/>
            <w:sz w:val="24"/>
            <w:szCs w:val="24"/>
            <w:u w:val="single"/>
            <w:lang w:eastAsia="en-GB"/>
          </w:rPr>
          <w:t>this fascinating blog</w:t>
        </w:r>
      </w:hyperlink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by Dennis Baron charts more than 100 (failed) attempts over 150 years to coin a gender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>-neutral singular pronoun. The elusive term – still not agreed upon – has been labelled the ‘hermaphrodite pronoun’, the ‘</w:t>
      </w:r>
      <w:proofErr w:type="spell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bi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>personal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pronoun’ and the ‘unisex pronoun.’</w:t>
      </w: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So what should it be? Baron’s blog walks you through all the failed attempts – starting with the mid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 xml:space="preserve"> 19th century’s </w:t>
      </w:r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ne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nis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nim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, and citing </w:t>
      </w:r>
      <w:proofErr w:type="spell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sci-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>fi’s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contributions of neologism: </w:t>
      </w:r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co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;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xie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; </w:t>
      </w:r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per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;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en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. As early as 1878, Napoleon Bonaparte Brown argued that the need for a new pronoun was “so desperate, urgent, </w:t>
      </w:r>
      <w:proofErr w:type="gram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imperative</w:t>
      </w:r>
      <w:proofErr w:type="gram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that ... it should long since have grown on our speech”.</w:t>
      </w: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E6E6E"/>
          <w:sz w:val="24"/>
          <w:szCs w:val="24"/>
          <w:lang w:eastAsia="en-GB"/>
        </w:rPr>
      </w:pP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In 1884, </w:t>
      </w:r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thon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 </w:t>
      </w:r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hi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 </w:t>
      </w:r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le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hiser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and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ip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were variously suggested. </w:t>
      </w:r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Thon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 – a blend of that and one – was coined by Philadelphia lawyer Charles C Converse and Baron demonstrates how it was the closest thing to a successful attempt at entering the vernacular; it was accepted by two major dictionaries and even adopted by some 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lastRenderedPageBreak/>
        <w:t xml:space="preserve">writers. But it was grammatical pedantry, not </w:t>
      </w:r>
      <w:proofErr w:type="gram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feminism, that</w:t>
      </w:r>
      <w:proofErr w:type="gram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motivated Converse. He wanted a “beautiful symmetry” in English and to avoid “hideous solecisms”.</w:t>
      </w: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The second closest thing to enter the vernacular was named after American mathematician Michael </w:t>
      </w:r>
      <w:proofErr w:type="spell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Spivak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; initially</w:t>
      </w:r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 e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</w:t>
      </w:r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es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em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(</w:t>
      </w:r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e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wrote;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es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eyes are blue) later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ey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eir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em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(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ey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wrote; I like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em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). </w:t>
      </w:r>
      <w:hyperlink r:id="rId8" w:history="1">
        <w:r w:rsidRPr="0069427D">
          <w:rPr>
            <w:rFonts w:ascii="Georgia" w:eastAsia="Times New Roman" w:hAnsi="Georgia" w:cs="Times New Roman"/>
            <w:color w:val="005689"/>
            <w:sz w:val="24"/>
            <w:szCs w:val="24"/>
            <w:u w:val="single"/>
            <w:lang w:eastAsia="en-GB"/>
          </w:rPr>
          <w:t>Other sources</w:t>
        </w:r>
      </w:hyperlink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 attribute these pronouns (formed by dropping the </w:t>
      </w:r>
      <w:proofErr w:type="spell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from they, </w:t>
      </w:r>
      <w:proofErr w:type="spell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their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and them) to a competition run by the Chicago Association of Business Communicators, won by a Christine M Elverson in 1975. The </w:t>
      </w:r>
      <w:proofErr w:type="spell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Spivak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pronouns are used today by some in the genderqueer and gaming communities.</w:t>
      </w: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Further proposals –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hes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 </w:t>
      </w:r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hem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ir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ons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 </w:t>
      </w:r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e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 </w:t>
      </w:r>
      <w:proofErr w:type="spellStart"/>
      <w:proofErr w:type="gram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ith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,</w:t>
      </w:r>
      <w:proofErr w:type="gram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lim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ler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lers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– sprang up, often suggested by newspapers. Readers suggested portmanteaus: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hiser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;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himer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; </w:t>
      </w:r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hasher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;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shis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; </w:t>
      </w:r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shim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;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heer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;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hie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. Humanist lexicon suggested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hu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 which can occasionally sound like the Kiwi accent (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hu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wrote; I like </w:t>
      </w:r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hum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).</w:t>
      </w:r>
      <w:hyperlink r:id="rId9" w:history="1">
        <w:r w:rsidRPr="0069427D">
          <w:rPr>
            <w:rFonts w:ascii="Georgia" w:eastAsia="Times New Roman" w:hAnsi="Georgia" w:cs="Times New Roman"/>
            <w:color w:val="005689"/>
            <w:sz w:val="24"/>
            <w:szCs w:val="24"/>
            <w:u w:val="single"/>
            <w:lang w:eastAsia="en-GB"/>
          </w:rPr>
          <w:t> Jayce’s system</w:t>
        </w:r>
      </w:hyperlink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 meanwhile, suggested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jee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jem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(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jee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wrote; I like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jem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). You can find these, and many more, listed at</w:t>
      </w:r>
      <w:hyperlink r:id="rId10" w:history="1">
        <w:r w:rsidRPr="0069427D">
          <w:rPr>
            <w:rFonts w:ascii="Georgia" w:eastAsia="Times New Roman" w:hAnsi="Georgia" w:cs="Times New Roman"/>
            <w:color w:val="005689"/>
            <w:sz w:val="24"/>
            <w:szCs w:val="24"/>
            <w:u w:val="single"/>
            <w:lang w:eastAsia="en-GB"/>
          </w:rPr>
          <w:t> A Chronology of a Word that Failed</w:t>
        </w:r>
      </w:hyperlink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.</w:t>
      </w: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Why has a need for such a short and simple word been so unsuccessful? One opponent of the “bastard word form” </w:t>
      </w:r>
      <w:proofErr w:type="gram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portmanteaus,</w:t>
      </w:r>
      <w:proofErr w:type="gram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wrote in the New York Commercial Advertiser in 1884 in response to the idea of </w:t>
      </w:r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thon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: “All attempts in this direction have failed, partly because it is always exceedingly difficult to introduce new forms into a language, unless they spring up naturally and, as it were, spontaneously.”</w:t>
      </w: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Grammar pedantry aside, what would be the social impact of this addition to the language? The feminist argument is as obvious as it is compelling. And in the case of </w:t>
      </w:r>
      <w:proofErr w:type="spell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gender-non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>binary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people, how do they get around the problem? Minding your language is important here. Shim and </w:t>
      </w:r>
      <w:proofErr w:type="spell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shemale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are pejorative portmanteaus, sometimes lazily applied to </w:t>
      </w:r>
      <w:proofErr w:type="gram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trans</w:t>
      </w:r>
      <w:proofErr w:type="gram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people.</w:t>
      </w: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transgender campaigning group </w:t>
      </w:r>
      <w:hyperlink r:id="rId11" w:history="1">
        <w:r w:rsidRPr="0069427D">
          <w:rPr>
            <w:rFonts w:ascii="Georgia" w:eastAsia="Times New Roman" w:hAnsi="Georgia" w:cs="Times New Roman"/>
            <w:color w:val="005689"/>
            <w:sz w:val="24"/>
            <w:szCs w:val="24"/>
            <w:u w:val="single"/>
            <w:lang w:eastAsia="en-GB"/>
          </w:rPr>
          <w:t>Press for Change</w:t>
        </w:r>
      </w:hyperlink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told me: “When transitioning [in the UK], people have to apply to the Gender Recognition Panel for recognition of their acquired gender. There’s no option for neutral or non-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>heteronormative gender.” Last April,</w:t>
      </w:r>
      <w:hyperlink r:id="rId12" w:history="1">
        <w:r w:rsidRPr="0069427D">
          <w:rPr>
            <w:rFonts w:ascii="Georgia" w:eastAsia="Times New Roman" w:hAnsi="Georgia" w:cs="Times New Roman"/>
            <w:color w:val="005689"/>
            <w:sz w:val="24"/>
            <w:szCs w:val="24"/>
            <w:u w:val="single"/>
            <w:lang w:eastAsia="en-GB"/>
          </w:rPr>
          <w:t xml:space="preserve"> the Australian case of </w:t>
        </w:r>
        <w:proofErr w:type="spellStart"/>
        <w:r w:rsidRPr="0069427D">
          <w:rPr>
            <w:rFonts w:ascii="Georgia" w:eastAsia="Times New Roman" w:hAnsi="Georgia" w:cs="Times New Roman"/>
            <w:color w:val="005689"/>
            <w:sz w:val="24"/>
            <w:szCs w:val="24"/>
            <w:u w:val="single"/>
            <w:lang w:eastAsia="en-GB"/>
          </w:rPr>
          <w:t>Norrie</w:t>
        </w:r>
      </w:hyperlink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sparked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discussion on the issue. In a landmark high court case, Norrie, 52, from Sydney, won the right for gender-non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>specific Australians to be something other than male or female on their birth certificate. Norrie has expressed a preference for the Germanic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hir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 for </w:t>
      </w:r>
      <w:proofErr w:type="gram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her/his,</w:t>
      </w:r>
      <w:proofErr w:type="gram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and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zie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for he/she.</w:t>
      </w: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I contacted the All </w:t>
      </w:r>
      <w:proofErr w:type="gram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About</w:t>
      </w:r>
      <w:proofErr w:type="gram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Trans project, who connected me with some British people who, like Norrie, identify as </w:t>
      </w:r>
      <w:proofErr w:type="spell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gender-non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>binary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. Nathan Gale from Scotland says having a widely recognised third pronoun would be very useful. Gale currently uses “they”, and reiterates the advice from the </w:t>
      </w:r>
      <w:hyperlink r:id="rId13" w:history="1">
        <w:r w:rsidRPr="0069427D">
          <w:rPr>
            <w:rFonts w:ascii="Georgia" w:eastAsia="Times New Roman" w:hAnsi="Georgia" w:cs="Times New Roman"/>
            <w:color w:val="005689"/>
            <w:sz w:val="24"/>
            <w:szCs w:val="24"/>
            <w:u w:val="single"/>
            <w:lang w:eastAsia="en-GB"/>
          </w:rPr>
          <w:t>Trans Media Watch style guide</w:t>
        </w:r>
      </w:hyperlink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: “Simply referring to people in the way they refer to themselves is usually the best way to accurately report their identity.”</w:t>
      </w: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lastRenderedPageBreak/>
        <w:t>I note, however, no universal gender-blind pronoun is recommended. If we all use different third pronouns, they’ll become fourth, fifth, 200th pronouns, and clarity will be lost. I believe Trans Media Watch should stop fence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 xml:space="preserve">-sitting and pick one, then promote it. Gale says: “I think journalists can be scared of using language that people are unfamiliar with, like </w:t>
      </w:r>
      <w:proofErr w:type="spell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non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>binary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for example but, people won’t become familiar with them if they’re never used in the mainstream media.”</w:t>
      </w: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Guardian writer Jane Fae </w:t>
      </w:r>
      <w:hyperlink r:id="rId14" w:history="1">
        <w:r w:rsidRPr="0069427D">
          <w:rPr>
            <w:rFonts w:ascii="Georgia" w:eastAsia="Times New Roman" w:hAnsi="Georgia" w:cs="Times New Roman"/>
            <w:color w:val="005689"/>
            <w:sz w:val="24"/>
            <w:szCs w:val="24"/>
            <w:u w:val="single"/>
            <w:lang w:eastAsia="en-GB"/>
          </w:rPr>
          <w:t>wrote about</w:t>
        </w:r>
      </w:hyperlink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 a </w:t>
      </w:r>
      <w:proofErr w:type="spell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gender-non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>binary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friend’s choice of language: “They don’t identify as male or female, prefer </w:t>
      </w:r>
      <w:proofErr w:type="spellStart"/>
      <w:r w:rsidRPr="0069427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Mx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(pronounced “Mix”) as title of choice, and feel positively excluded by forms that demand they pick from a limited list of gender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 xml:space="preserve"> specific titles.”</w:t>
      </w: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CN Lester, 30, also opts for “they” to describe their </w:t>
      </w:r>
      <w:proofErr w:type="spell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non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>binary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identity. They seem impatient at the slow 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>rate of linguistic change: “</w:t>
      </w:r>
      <w:proofErr w:type="gram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People</w:t>
      </w:r>
      <w:proofErr w:type="gram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who transgress gender norms, and gendered language, are hardly a new phenomenon. How we refer to ourselves, and how society refers to us, is constantly changing this is just one more small shift of many.” They add: “Using </w:t>
      </w:r>
      <w:proofErr w:type="spellStart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trans</w:t>
      </w: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softHyphen/>
        <w:t>friendly</w:t>
      </w:r>
      <w:proofErr w:type="spellEnd"/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language doesn’t have to be hard, although it might take a bit of getting used to it can be pretty exciting, to see how flexible, accommodating and inventive our language can be.”</w:t>
      </w:r>
    </w:p>
    <w:p w:rsidR="0069427D" w:rsidRPr="0069427D" w:rsidRDefault="0069427D" w:rsidP="006942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942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I agree – it’s exciting how our language can reflect social progressiveness (such as the adoption of the honorific Ms). Whether you’re a grammatical purist, a feminist or a social progressive, the reasons for a uniform, unisex third pronoun are compelling. But what should it be?</w:t>
      </w:r>
    </w:p>
    <w:p w:rsidR="00AE1E33" w:rsidRPr="0069427D" w:rsidRDefault="00AE1E33">
      <w:pPr>
        <w:rPr>
          <w:sz w:val="24"/>
          <w:szCs w:val="24"/>
        </w:rPr>
      </w:pPr>
    </w:p>
    <w:sectPr w:rsidR="00AE1E33" w:rsidRPr="00694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66AC"/>
    <w:multiLevelType w:val="multilevel"/>
    <w:tmpl w:val="22F6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7D"/>
    <w:rsid w:val="0069427D"/>
    <w:rsid w:val="00A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2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7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0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3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derneutralpronoun.wordpress.com/tag/ze-and-zir/" TargetMode="External"/><Relationship Id="rId13" Type="http://schemas.openxmlformats.org/officeDocument/2006/relationships/hyperlink" Target="http://www.transmediawatch.org/Documents/Media%20Style%20Guid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llinois.edu/blog/view/25/31097" TargetMode="External"/><Relationship Id="rId12" Type="http://schemas.openxmlformats.org/officeDocument/2006/relationships/hyperlink" Target="https://www.theguardian.com/world/2014/apr/02/third-gender-must-be-recognised-by-nsw-after-norrie-wins-legal-batt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media/mind-your-language/2013/oct/18/mind-your-language-sexism" TargetMode="External"/><Relationship Id="rId11" Type="http://schemas.openxmlformats.org/officeDocument/2006/relationships/hyperlink" Target="http://www.pfc.org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lish.illinois.edu/-people-/faculty/debaron/essays/epicen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yceland.com/blog/archive/2011/01/30/jayces-gender-neutral-pronouns/" TargetMode="External"/><Relationship Id="rId14" Type="http://schemas.openxmlformats.org/officeDocument/2006/relationships/hyperlink" Target="https://www.theguardian.com/commentisfree/2012/oct/26/brighton-council-gender-neutral-transg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Foley</dc:creator>
  <cp:lastModifiedBy>Tim Foley</cp:lastModifiedBy>
  <cp:revision>1</cp:revision>
  <cp:lastPrinted>2017-04-23T09:36:00Z</cp:lastPrinted>
  <dcterms:created xsi:type="dcterms:W3CDTF">2017-04-23T09:32:00Z</dcterms:created>
  <dcterms:modified xsi:type="dcterms:W3CDTF">2017-04-23T09:37:00Z</dcterms:modified>
</cp:coreProperties>
</file>