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="00545E9B" w:rsidRPr="0046706D" w14:paraId="2DA5EA94" w14:textId="5A69C3DB" w:rsidTr="00505CF5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505CF5">
        <w:tc>
          <w:tcPr>
            <w:tcW w:w="3227" w:type="dxa"/>
            <w:tcBorders>
              <w:right w:val="nil"/>
            </w:tcBorders>
          </w:tcPr>
          <w:p w14:paraId="51250003" w14:textId="32FF02FF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64751A">
              <w:rPr>
                <w:rFonts w:ascii="Century Gothic" w:hAnsi="Century Gothic"/>
                <w:color w:val="002060"/>
                <w:sz w:val="24"/>
                <w:szCs w:val="24"/>
              </w:rPr>
              <w:t>PE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10B7998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D10AA9">
              <w:rPr>
                <w:rFonts w:ascii="Century Gothic" w:hAnsi="Century Gothic"/>
                <w:color w:val="002060"/>
                <w:sz w:val="24"/>
                <w:szCs w:val="24"/>
              </w:rPr>
              <w:t>11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1715FA3D" w:rsidR="00DF651B" w:rsidRPr="0046706D" w:rsidRDefault="00F84D6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Activity Area:</w:t>
            </w:r>
            <w:r w:rsidR="00D10AA9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BTEC Tech Award in Sport</w:t>
            </w:r>
          </w:p>
        </w:tc>
      </w:tr>
      <w:tr w:rsidR="00545E9B" w:rsidRPr="0046706D" w14:paraId="5EEC397A" w14:textId="29211400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C55E2F">
        <w:trPr>
          <w:trHeight w:val="425"/>
        </w:trPr>
        <w:tc>
          <w:tcPr>
            <w:tcW w:w="10206" w:type="dxa"/>
            <w:gridSpan w:val="4"/>
          </w:tcPr>
          <w:p w14:paraId="638DCA56" w14:textId="77777777" w:rsidR="00355A1A" w:rsidRDefault="00355A1A" w:rsidP="00C55E2F">
            <w:pPr>
              <w:spacing w:after="120"/>
            </w:pPr>
            <w:r>
              <w:t>Component 1:</w:t>
            </w:r>
          </w:p>
          <w:p w14:paraId="6E2BCD76" w14:textId="53BF0E20" w:rsidR="0083569A" w:rsidRDefault="006242AA" w:rsidP="00C55E2F">
            <w:pPr>
              <w:spacing w:after="120"/>
            </w:pPr>
            <w:r>
              <w:t xml:space="preserve">Explore types and provision of sport and physical activity for different types of </w:t>
            </w:r>
            <w:proofErr w:type="gramStart"/>
            <w:r>
              <w:t>participant</w:t>
            </w:r>
            <w:proofErr w:type="gramEnd"/>
            <w:r w:rsidR="0083569A">
              <w:t>.</w:t>
            </w:r>
          </w:p>
          <w:p w14:paraId="2556EF01" w14:textId="77777777" w:rsidR="0083569A" w:rsidRDefault="006242AA" w:rsidP="00C55E2F">
            <w:pPr>
              <w:spacing w:after="120"/>
            </w:pPr>
            <w:r>
              <w:t>Examine equipment and technology required for participants to use when taking part in sport and physical activity</w:t>
            </w:r>
            <w:r w:rsidR="0083569A">
              <w:t>.</w:t>
            </w:r>
          </w:p>
          <w:p w14:paraId="1B24061C" w14:textId="41D50CC0" w:rsidR="00C55E2F" w:rsidRPr="00C55E2F" w:rsidRDefault="006242AA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t>Be able to prepare participants to take part in sport and physical activity</w:t>
            </w:r>
          </w:p>
        </w:tc>
      </w:tr>
      <w:tr w:rsidR="00545E9B" w:rsidRPr="0046706D" w14:paraId="3ABBF074" w14:textId="500B27E1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C55E2F">
        <w:trPr>
          <w:trHeight w:val="848"/>
        </w:trPr>
        <w:tc>
          <w:tcPr>
            <w:tcW w:w="10206" w:type="dxa"/>
            <w:gridSpan w:val="4"/>
          </w:tcPr>
          <w:p w14:paraId="730BA4C4" w14:textId="77777777" w:rsidR="00DF651B" w:rsidRDefault="00355A1A" w:rsidP="0077127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This will be assessed using the examination board guidance, within the examination board window of assessment (October-December 2023).</w:t>
            </w:r>
          </w:p>
          <w:p w14:paraId="76B1C89A" w14:textId="77777777" w:rsidR="00355A1A" w:rsidRDefault="00355A1A" w:rsidP="0077127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It will involve completion of three tasks under supervised conditions. This will include:</w:t>
            </w:r>
          </w:p>
          <w:p w14:paraId="78DAE1C9" w14:textId="77777777" w:rsidR="00355A1A" w:rsidRDefault="00355A1A" w:rsidP="00355A1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 written response to an exam board set scenario </w:t>
            </w:r>
            <w:r w:rsidR="006A7533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suggesting provision available to the </w:t>
            </w:r>
            <w:proofErr w:type="gramStart"/>
            <w:r w:rsidR="006A7533">
              <w:rPr>
                <w:rFonts w:ascii="Century Gothic" w:hAnsi="Century Gothic"/>
                <w:color w:val="002060"/>
                <w:sz w:val="18"/>
                <w:szCs w:val="18"/>
              </w:rPr>
              <w:t>scenario</w:t>
            </w:r>
            <w:proofErr w:type="gramEnd"/>
          </w:p>
          <w:p w14:paraId="51108B65" w14:textId="77777777" w:rsidR="006A7533" w:rsidRDefault="006A7533" w:rsidP="00355A1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 PowerPoint presentation examining equipment and technologies </w:t>
            </w:r>
            <w:r w:rsidR="00CA5DDA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the scenario participant could </w:t>
            </w:r>
            <w:proofErr w:type="gramStart"/>
            <w:r w:rsidR="00CA5DDA">
              <w:rPr>
                <w:rFonts w:ascii="Century Gothic" w:hAnsi="Century Gothic"/>
                <w:color w:val="002060"/>
                <w:sz w:val="18"/>
                <w:szCs w:val="18"/>
              </w:rPr>
              <w:t>use</w:t>
            </w:r>
            <w:proofErr w:type="gramEnd"/>
          </w:p>
          <w:p w14:paraId="25C562EA" w14:textId="77777777" w:rsidR="00CA5DDA" w:rsidRDefault="00CA5DDA" w:rsidP="00355A1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Leading a </w:t>
            </w:r>
            <w:proofErr w:type="gram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Warm up</w:t>
            </w:r>
            <w:proofErr w:type="gram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session to adequately prepare participants for physical activity (this will be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videod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). </w:t>
            </w:r>
          </w:p>
          <w:p w14:paraId="020CE498" w14:textId="05D49E8B" w:rsidR="00CA5DDA" w:rsidRPr="00CA5DDA" w:rsidRDefault="00CA5DDA" w:rsidP="00CA5DDA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Students will be provided with </w:t>
            </w:r>
            <w:r w:rsidR="0024136E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approximately 5 supervised hours to complete these assessments. </w:t>
            </w:r>
          </w:p>
        </w:tc>
      </w:tr>
      <w:tr w:rsidR="00545E9B" w:rsidRPr="0046706D" w14:paraId="03681DD0" w14:textId="43AA48DA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5B6017">
        <w:trPr>
          <w:trHeight w:val="1188"/>
        </w:trPr>
        <w:tc>
          <w:tcPr>
            <w:tcW w:w="10206" w:type="dxa"/>
            <w:gridSpan w:val="4"/>
          </w:tcPr>
          <w:p w14:paraId="1D0C7D86" w14:textId="3650065B" w:rsidR="00DF651B" w:rsidRDefault="00E26854" w:rsidP="00526BF0">
            <w:pPr>
              <w:spacing w:after="120"/>
            </w:pPr>
            <w:r>
              <w:t>What t</w:t>
            </w:r>
            <w:r w:rsidR="008666FD">
              <w:t>ypes and providers of sport and physical activities</w:t>
            </w:r>
            <w:r>
              <w:t xml:space="preserve"> are there and how </w:t>
            </w:r>
            <w:r w:rsidR="002D1F89">
              <w:t>can these be used to meet the needs of participants?</w:t>
            </w:r>
          </w:p>
          <w:p w14:paraId="5E98CFCF" w14:textId="36B36BC5" w:rsidR="008666FD" w:rsidRDefault="002D1F89" w:rsidP="00526BF0">
            <w:pPr>
              <w:spacing w:after="120"/>
            </w:pPr>
            <w:r>
              <w:t>What b</w:t>
            </w:r>
            <w:r w:rsidR="00E114F2">
              <w:t xml:space="preserve">arriers to participation in sport and physical activity for different types of </w:t>
            </w:r>
            <w:r w:rsidR="00943938">
              <w:t>participants</w:t>
            </w:r>
            <w:r>
              <w:t xml:space="preserve"> are there?</w:t>
            </w:r>
          </w:p>
          <w:p w14:paraId="3BCD6EF2" w14:textId="7A37DC4C" w:rsidR="00E114F2" w:rsidRDefault="002D1F89" w:rsidP="00526BF0">
            <w:pPr>
              <w:spacing w:after="120"/>
            </w:pPr>
            <w:r>
              <w:t>What d</w:t>
            </w:r>
            <w:r w:rsidR="00E114F2">
              <w:t>ifferent types of sports clothing</w:t>
            </w:r>
            <w:r>
              <w:t>, technology</w:t>
            </w:r>
            <w:r w:rsidR="00E114F2">
              <w:t xml:space="preserve"> and equipment</w:t>
            </w:r>
            <w:r w:rsidR="00E81884">
              <w:t xml:space="preserve"> are</w:t>
            </w:r>
            <w:r w:rsidR="00E114F2">
              <w:t xml:space="preserve"> required for participation in sport and physical activity</w:t>
            </w:r>
            <w:r w:rsidR="00E81884">
              <w:t xml:space="preserve"> and how can these benefit participation and performance?</w:t>
            </w:r>
          </w:p>
          <w:p w14:paraId="37A4C66D" w14:textId="15C467C7" w:rsidR="00FB35A6" w:rsidRDefault="00E81884" w:rsidP="00526BF0">
            <w:pPr>
              <w:spacing w:after="120"/>
            </w:pPr>
            <w:r>
              <w:t>What are t</w:t>
            </w:r>
            <w:r w:rsidR="00FB35A6">
              <w:t>he limitations of using technology in sport and physical activity</w:t>
            </w:r>
            <w:r>
              <w:t>?</w:t>
            </w:r>
          </w:p>
          <w:p w14:paraId="6E8F7FA5" w14:textId="6EADF26F" w:rsidR="00FB35A6" w:rsidRDefault="00E81884" w:rsidP="00526BF0">
            <w:pPr>
              <w:spacing w:after="120"/>
            </w:pPr>
            <w:r>
              <w:t>What is involved in p</w:t>
            </w:r>
            <w:r w:rsidR="00AB5F1B">
              <w:t xml:space="preserve">lanning </w:t>
            </w:r>
            <w:r>
              <w:t xml:space="preserve">and delivering </w:t>
            </w:r>
            <w:r w:rsidR="00AB5F1B">
              <w:t>a warm-up</w:t>
            </w:r>
            <w:r>
              <w:t xml:space="preserve"> to prepare participants for physical activity?</w:t>
            </w:r>
          </w:p>
          <w:p w14:paraId="1981C28C" w14:textId="304926A5" w:rsidR="00AB5F1B" w:rsidRDefault="00E81884" w:rsidP="00526BF0">
            <w:pPr>
              <w:spacing w:after="120"/>
            </w:pPr>
            <w:r>
              <w:t xml:space="preserve">How can warm </w:t>
            </w:r>
            <w:proofErr w:type="gramStart"/>
            <w:r>
              <w:t>up</w:t>
            </w:r>
            <w:r w:rsidR="00943938">
              <w:t>’s</w:t>
            </w:r>
            <w:proofErr w:type="gramEnd"/>
            <w:r w:rsidR="00943938">
              <w:t xml:space="preserve"> be </w:t>
            </w:r>
            <w:r w:rsidR="00AB5F1B">
              <w:t>a</w:t>
            </w:r>
            <w:r w:rsidR="00AB5F1B">
              <w:t>dapt</w:t>
            </w:r>
            <w:r w:rsidR="00943938">
              <w:t>ed</w:t>
            </w:r>
            <w:r w:rsidR="00AB5F1B">
              <w:t xml:space="preserve"> for different categories of participants and different types of physical activities</w:t>
            </w:r>
            <w:r w:rsidR="00943938">
              <w:t>?</w:t>
            </w:r>
          </w:p>
          <w:p w14:paraId="32E11D59" w14:textId="223A785F" w:rsidR="00AB5F1B" w:rsidRPr="0021493B" w:rsidRDefault="00AB5F1B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545E9B" w:rsidRPr="0046706D" w14:paraId="386A19A0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505CF5">
        <w:trPr>
          <w:trHeight w:val="1598"/>
        </w:trPr>
        <w:tc>
          <w:tcPr>
            <w:tcW w:w="4621" w:type="dxa"/>
            <w:gridSpan w:val="2"/>
          </w:tcPr>
          <w:p w14:paraId="48E1CEBC" w14:textId="31660F11" w:rsidR="0075729A" w:rsidRDefault="00943938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KS3 </w:t>
            </w:r>
            <w:r w:rsidR="0075729A">
              <w:rPr>
                <w:rFonts w:ascii="Century Gothic" w:hAnsi="Century Gothic"/>
                <w:color w:val="002060"/>
                <w:sz w:val="24"/>
                <w:szCs w:val="24"/>
              </w:rPr>
              <w:t>Core PE to allow students to understand how a range of different sports are carried out and the equipment required for them.</w:t>
            </w:r>
          </w:p>
          <w:p w14:paraId="0B8E252C" w14:textId="77777777" w:rsidR="0075729A" w:rsidRDefault="0075729A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  <w:p w14:paraId="36FFAA18" w14:textId="0EE05669" w:rsidR="00177C24" w:rsidRDefault="00177C24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KS3 PE So students understand how to prepare safely for exercise. </w:t>
            </w:r>
          </w:p>
          <w:p w14:paraId="25B3F181" w14:textId="77777777" w:rsidR="00177C24" w:rsidRDefault="00177C24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  <w:p w14:paraId="621AEE67" w14:textId="77777777" w:rsidR="00177C24" w:rsidRDefault="00177C24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KS3 PE so students understand the benefits of taking part in Physical Activity</w:t>
            </w:r>
          </w:p>
          <w:p w14:paraId="6C1E3FF1" w14:textId="0C100E40" w:rsidR="00534B06" w:rsidRPr="0046706D" w:rsidRDefault="00177C24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lastRenderedPageBreak/>
              <w:t xml:space="preserve">KS3 PE so students understand the categories of activity including sport, OAA and Physical Activity. </w:t>
            </w:r>
            <w:r w:rsidR="00534B06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585" w:type="dxa"/>
            <w:gridSpan w:val="2"/>
          </w:tcPr>
          <w:p w14:paraId="25844497" w14:textId="6136E3C8" w:rsidR="00DF651B" w:rsidRDefault="004D6B19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lastRenderedPageBreak/>
              <w:t xml:space="preserve">Further study of </w:t>
            </w:r>
            <w:r w:rsidR="00085A8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PE and Sport at KS5 and further education. </w:t>
            </w:r>
          </w:p>
          <w:p w14:paraId="0D39EE80" w14:textId="77777777" w:rsidR="00A64BE8" w:rsidRDefault="00A64BE8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6CD40514" w14:textId="653F6BBA" w:rsidR="00A64BE8" w:rsidRDefault="00A64BE8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Further </w:t>
            </w:r>
            <w:r w:rsidR="00085A8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application of knowledge within BTEC Tech award course for </w:t>
            </w:r>
            <w:r w:rsidR="00E46B6D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assessment in Component 3 in June 2024. </w:t>
            </w:r>
          </w:p>
          <w:p w14:paraId="7FFAD680" w14:textId="77777777" w:rsidR="00D959F2" w:rsidRDefault="00D959F2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5C1F2957" w14:textId="4226C3FD" w:rsidR="00D959F2" w:rsidRDefault="00D959F2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Further development of </w:t>
            </w:r>
            <w:r w:rsidR="00C56B73">
              <w:rPr>
                <w:rFonts w:ascii="Century Gothic" w:hAnsi="Century Gothic"/>
                <w:color w:val="002060"/>
                <w:sz w:val="18"/>
                <w:szCs w:val="18"/>
              </w:rPr>
              <w:t>teamwork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="00E46B6D">
              <w:rPr>
                <w:rFonts w:ascii="Century Gothic" w:hAnsi="Century Gothic"/>
                <w:color w:val="002060"/>
                <w:sz w:val="18"/>
                <w:szCs w:val="18"/>
              </w:rPr>
              <w:t>and cooperation</w:t>
            </w:r>
          </w:p>
          <w:p w14:paraId="12DB3371" w14:textId="77777777" w:rsidR="00E46B6D" w:rsidRDefault="00E46B6D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092083D3" w14:textId="2A6B487A" w:rsidR="00E46B6D" w:rsidRDefault="00E46B6D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Development of leadership and coaching skills</w:t>
            </w:r>
          </w:p>
          <w:p w14:paraId="6CE3DDB5" w14:textId="07707DB9" w:rsidR="00C56B73" w:rsidRPr="00C55E2F" w:rsidRDefault="00C56B73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545E9B" w:rsidRPr="0046706D" w14:paraId="4EB899E3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005B6017">
        <w:trPr>
          <w:trHeight w:val="2729"/>
        </w:trPr>
        <w:tc>
          <w:tcPr>
            <w:tcW w:w="4621" w:type="dxa"/>
            <w:gridSpan w:val="2"/>
          </w:tcPr>
          <w:p w14:paraId="32D0FD6E" w14:textId="77777777" w:rsidR="001D450B" w:rsidRDefault="001D450B" w:rsidP="00E46B6D">
            <w:pPr>
              <w:spacing w:after="120"/>
            </w:pPr>
            <w:r>
              <w:t xml:space="preserve">Types of sport and physical activity: </w:t>
            </w:r>
          </w:p>
          <w:p w14:paraId="419943EE" w14:textId="0FB8FCA3" w:rsidR="001D450B" w:rsidRDefault="00525CCC" w:rsidP="00525CCC">
            <w:pPr>
              <w:pStyle w:val="ListParagraph"/>
              <w:numPr>
                <w:ilvl w:val="0"/>
                <w:numId w:val="4"/>
              </w:numPr>
              <w:spacing w:after="120"/>
            </w:pPr>
            <w:r>
              <w:t>Sports</w:t>
            </w:r>
          </w:p>
          <w:p w14:paraId="2AF8CC83" w14:textId="6E8B413A" w:rsidR="00B32921" w:rsidRDefault="00B32921" w:rsidP="00B32921">
            <w:pPr>
              <w:pStyle w:val="ListParagraph"/>
              <w:numPr>
                <w:ilvl w:val="0"/>
                <w:numId w:val="4"/>
              </w:numPr>
              <w:spacing w:after="120"/>
            </w:pPr>
            <w:r>
              <w:t>Physical activity</w:t>
            </w:r>
          </w:p>
          <w:p w14:paraId="4010CD87" w14:textId="0EEA2A24" w:rsidR="00B32921" w:rsidRDefault="00B32921" w:rsidP="00B32921">
            <w:pPr>
              <w:pStyle w:val="ListParagraph"/>
              <w:numPr>
                <w:ilvl w:val="0"/>
                <w:numId w:val="4"/>
              </w:numPr>
              <w:spacing w:after="120"/>
            </w:pPr>
            <w:r>
              <w:t>Outdoor activities</w:t>
            </w:r>
          </w:p>
          <w:p w14:paraId="50B7A81B" w14:textId="43F52784" w:rsidR="001D450B" w:rsidRDefault="001D450B" w:rsidP="00E46B6D">
            <w:pPr>
              <w:spacing w:after="120"/>
            </w:pPr>
            <w:r>
              <w:t>● Benefits of taking part in sport</w:t>
            </w:r>
            <w:r w:rsidR="00B32921">
              <w:t xml:space="preserve">, outdoor </w:t>
            </w:r>
            <w:proofErr w:type="gramStart"/>
            <w:r w:rsidR="00B32921">
              <w:t>activities</w:t>
            </w:r>
            <w:proofErr w:type="gramEnd"/>
            <w:r w:rsidR="00B32921">
              <w:t xml:space="preserve"> and physical activities</w:t>
            </w:r>
          </w:p>
          <w:p w14:paraId="2F0D9B5D" w14:textId="77777777" w:rsidR="00664B90" w:rsidRDefault="001D450B" w:rsidP="00E46B6D">
            <w:pPr>
              <w:spacing w:after="120"/>
            </w:pPr>
            <w:r>
              <w:t xml:space="preserve">● Provision of sport and physical activity: </w:t>
            </w:r>
          </w:p>
          <w:p w14:paraId="54273181" w14:textId="15606BA0" w:rsidR="00664B90" w:rsidRDefault="001D450B" w:rsidP="00E46B6D">
            <w:pPr>
              <w:spacing w:after="120"/>
            </w:pPr>
            <w:r>
              <w:t xml:space="preserve">o public sector to include local authorities and school provision </w:t>
            </w:r>
          </w:p>
          <w:p w14:paraId="4DB5F907" w14:textId="77777777" w:rsidR="00664B90" w:rsidRDefault="001D450B" w:rsidP="00E46B6D">
            <w:pPr>
              <w:spacing w:after="120"/>
            </w:pPr>
            <w:r>
              <w:t xml:space="preserve">o private sector – provided by organisations who aim to make a profit </w:t>
            </w:r>
          </w:p>
          <w:p w14:paraId="23C5077B" w14:textId="77777777" w:rsidR="00664B90" w:rsidRDefault="001D450B" w:rsidP="00E46B6D">
            <w:pPr>
              <w:spacing w:after="120"/>
            </w:pPr>
            <w:r>
              <w:t xml:space="preserve">o voluntary sectors – activities provided by volunteers who have a common interest in the sport /activity. </w:t>
            </w:r>
          </w:p>
          <w:p w14:paraId="198FCB1D" w14:textId="36032581" w:rsidR="00664B90" w:rsidRDefault="001D450B" w:rsidP="00525CCC">
            <w:pPr>
              <w:spacing w:after="120"/>
            </w:pPr>
            <w:r>
              <w:t>● Characteristics of the</w:t>
            </w:r>
            <w:r w:rsidR="00B32921">
              <w:t>se</w:t>
            </w:r>
            <w:r>
              <w:t xml:space="preserve"> sectors </w:t>
            </w:r>
            <w:r w:rsidR="00525CCC">
              <w:t>and a</w:t>
            </w:r>
            <w:r w:rsidR="00664B90">
              <w:t>dvantages and disadvantages of the provision of sport in each of the different sectors to the participant</w:t>
            </w:r>
            <w:r w:rsidR="00664B90">
              <w:t>.</w:t>
            </w:r>
          </w:p>
          <w:p w14:paraId="71A07689" w14:textId="64F1A929" w:rsidR="00CE2C93" w:rsidRDefault="00CE2C93" w:rsidP="00E46B6D">
            <w:pPr>
              <w:spacing w:after="120"/>
            </w:pPr>
            <w:r>
              <w:t xml:space="preserve">● Types of </w:t>
            </w:r>
            <w:proofErr w:type="gramStart"/>
            <w:r>
              <w:t>participant</w:t>
            </w:r>
            <w:proofErr w:type="gramEnd"/>
            <w:r w:rsidR="00525CCC">
              <w:t>, including p</w:t>
            </w:r>
            <w:r>
              <w:t>articipants of different ages</w:t>
            </w:r>
            <w:r w:rsidR="00525CCC">
              <w:t>,</w:t>
            </w:r>
            <w:r w:rsidR="00D4152C">
              <w:t xml:space="preserve"> and participants</w:t>
            </w:r>
            <w:r>
              <w:t xml:space="preserve"> with disabilities </w:t>
            </w:r>
          </w:p>
          <w:p w14:paraId="2454A385" w14:textId="77777777" w:rsidR="00CE2C93" w:rsidRDefault="00CE2C93" w:rsidP="00E46B6D">
            <w:pPr>
              <w:spacing w:after="120"/>
            </w:pPr>
            <w:r>
              <w:t xml:space="preserve"> ● Participants with long-term health conditions to include asthma, type 2 diabetes, high blood pressure, coronary heart disease (CHD). </w:t>
            </w:r>
          </w:p>
          <w:p w14:paraId="7020B99C" w14:textId="00AD50D2" w:rsidR="00CE2C93" w:rsidRDefault="00CE2C93" w:rsidP="00E46B6D">
            <w:pPr>
              <w:spacing w:after="120"/>
            </w:pPr>
            <w:r>
              <w:t>● Physical activity needs of participants</w:t>
            </w:r>
            <w:r w:rsidR="00D4152C">
              <w:t>.</w:t>
            </w:r>
          </w:p>
          <w:p w14:paraId="5B028B71" w14:textId="3F287E10" w:rsidR="00D8549A" w:rsidRDefault="00D8549A" w:rsidP="00E46B6D">
            <w:pPr>
              <w:spacing w:after="120"/>
            </w:pPr>
            <w:r>
              <w:t>Barriers to participation</w:t>
            </w:r>
            <w:r w:rsidR="00D4152C">
              <w:t xml:space="preserve"> including cost, access, time, cultural </w:t>
            </w:r>
            <w:proofErr w:type="gramStart"/>
            <w:r w:rsidR="00D4152C">
              <w:t>barriers</w:t>
            </w:r>
            <w:proofErr w:type="gramEnd"/>
            <w:r w:rsidR="00D4152C">
              <w:t xml:space="preserve"> and personal barriers.</w:t>
            </w:r>
          </w:p>
          <w:p w14:paraId="7F2EDA87" w14:textId="57C7137B" w:rsidR="007268D1" w:rsidRDefault="007268D1" w:rsidP="00E46B6D">
            <w:pPr>
              <w:spacing w:after="120"/>
            </w:pPr>
            <w:r>
              <w:t>Ways to break down barriers to participation including cost, access, staff training, assistive technologies</w:t>
            </w:r>
            <w:r w:rsidR="00775270">
              <w:t>, time, personal barriers, and cultural barriers.</w:t>
            </w:r>
          </w:p>
          <w:p w14:paraId="7912415B" w14:textId="58E78B77" w:rsidR="007A5D31" w:rsidRDefault="007A5D31" w:rsidP="00BD159A">
            <w:pPr>
              <w:spacing w:after="120"/>
            </w:pPr>
            <w:r>
              <w:t>Learners will explore a range of different types of technology and its use in sport and physical activity to improve performance and participant experience</w:t>
            </w:r>
            <w:r w:rsidR="0030112C">
              <w:t xml:space="preserve">, including clothing, footwear, sport specific equipment, protective and safety equipment, </w:t>
            </w:r>
            <w:r w:rsidR="00BB7289">
              <w:t xml:space="preserve">equipment designed for disability sport, Facilities, officiating, </w:t>
            </w:r>
            <w:r w:rsidR="00255BF6">
              <w:t xml:space="preserve">performance analysis, </w:t>
            </w:r>
            <w:r w:rsidR="00956CC3">
              <w:t xml:space="preserve">time, access to technology, cost of technology, </w:t>
            </w:r>
            <w:r w:rsidR="00564296">
              <w:t xml:space="preserve">Accuracy of </w:t>
            </w:r>
            <w:r w:rsidR="00BD159A">
              <w:t>data provided and usabil</w:t>
            </w:r>
            <w:r w:rsidR="008D2714">
              <w:t>ity.</w:t>
            </w:r>
          </w:p>
          <w:p w14:paraId="4031D887" w14:textId="77777777" w:rsidR="00CC1F79" w:rsidRDefault="00CC1F79" w:rsidP="00E46B6D">
            <w:pPr>
              <w:spacing w:after="120"/>
            </w:pPr>
            <w:r>
              <w:lastRenderedPageBreak/>
              <w:t xml:space="preserve">Learners will know about the types of activities that should be included in a pulse raiser, a mobiliser and preparation stretch and be able to plan a warm- up to cover each component. They will also understand how the cardiorespiratory and musculoskeletal systems respond to each component of a warm-up. </w:t>
            </w:r>
          </w:p>
          <w:p w14:paraId="138CE753" w14:textId="5DD48A4D" w:rsidR="00CE2285" w:rsidRDefault="00CE2285" w:rsidP="00E46B6D">
            <w:pPr>
              <w:spacing w:after="120"/>
            </w:pPr>
            <w:r>
              <w:t>● Adapting warm-ups for different categories of participants</w:t>
            </w:r>
            <w:r w:rsidR="00FC2707">
              <w:t>.</w:t>
            </w:r>
            <w:r>
              <w:t xml:space="preserve"> </w:t>
            </w:r>
          </w:p>
          <w:p w14:paraId="205DEBBE" w14:textId="6A454EB0" w:rsidR="006B0ECA" w:rsidRDefault="006B0ECA" w:rsidP="00E46B6D">
            <w:pPr>
              <w:spacing w:after="120"/>
            </w:pPr>
            <w:r>
              <w:t xml:space="preserve">Delivering a warm-up to prepare participants for physical activity Learners will be able to deliver the different component of a warm-up to prepare participants to take part in physical activity. </w:t>
            </w:r>
          </w:p>
          <w:p w14:paraId="2B4C7A00" w14:textId="77777777" w:rsidR="006B0ECA" w:rsidRDefault="006B0ECA" w:rsidP="00E46B6D">
            <w:pPr>
              <w:spacing w:after="120"/>
            </w:pPr>
            <w:r>
              <w:t xml:space="preserve">● Organisation and demonstration of the warm-up activities: o space – areas used o equipment o organisation of participants o timing </w:t>
            </w:r>
            <w:proofErr w:type="spellStart"/>
            <w:r>
              <w:t>o</w:t>
            </w:r>
            <w:proofErr w:type="spellEnd"/>
            <w:r>
              <w:t xml:space="preserve"> demonstrations o positioning. </w:t>
            </w:r>
          </w:p>
          <w:p w14:paraId="04B71273" w14:textId="4E298E7F" w:rsidR="006B0ECA" w:rsidRPr="00664B90" w:rsidRDefault="006B0ECA" w:rsidP="00E46B6D">
            <w:pPr>
              <w:spacing w:after="120"/>
            </w:pPr>
            <w:r>
              <w:t xml:space="preserve">● Supporting participants as they take part in the warm-up: o observing participants o providing instructions </w:t>
            </w:r>
            <w:proofErr w:type="spellStart"/>
            <w:r>
              <w:t>o</w:t>
            </w:r>
            <w:proofErr w:type="spellEnd"/>
            <w:r>
              <w:t xml:space="preserve"> providing teaching points </w:t>
            </w:r>
            <w:proofErr w:type="spellStart"/>
            <w:r>
              <w:t>o</w:t>
            </w:r>
            <w:proofErr w:type="spellEnd"/>
            <w:r>
              <w:t xml:space="preserve"> providing feedback to participants</w:t>
            </w:r>
          </w:p>
        </w:tc>
        <w:tc>
          <w:tcPr>
            <w:tcW w:w="5585" w:type="dxa"/>
            <w:gridSpan w:val="2"/>
          </w:tcPr>
          <w:p w14:paraId="1E54C7CE" w14:textId="77777777" w:rsidR="00DC44B2" w:rsidRDefault="007302A6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lastRenderedPageBreak/>
              <w:t>Sport</w:t>
            </w:r>
          </w:p>
          <w:p w14:paraId="7867ABD2" w14:textId="77777777" w:rsidR="007302A6" w:rsidRDefault="007302A6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Physical Activity</w:t>
            </w:r>
          </w:p>
          <w:p w14:paraId="4A92AB84" w14:textId="77777777" w:rsidR="007302A6" w:rsidRDefault="007302A6" w:rsidP="007302A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Outdoor Activities</w:t>
            </w:r>
          </w:p>
          <w:p w14:paraId="45D836A5" w14:textId="77777777" w:rsidR="007302A6" w:rsidRDefault="007302A6" w:rsidP="007302A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Provision</w:t>
            </w:r>
          </w:p>
          <w:p w14:paraId="45EAF3E4" w14:textId="77777777" w:rsidR="007302A6" w:rsidRDefault="007302A6" w:rsidP="007302A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Public Sector</w:t>
            </w:r>
          </w:p>
          <w:p w14:paraId="47B87BB3" w14:textId="77777777" w:rsidR="007302A6" w:rsidRDefault="007302A6" w:rsidP="007302A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Private Sector</w:t>
            </w:r>
          </w:p>
          <w:p w14:paraId="549C966F" w14:textId="77777777" w:rsidR="007302A6" w:rsidRDefault="007302A6" w:rsidP="007302A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Voluntary Sector</w:t>
            </w:r>
          </w:p>
          <w:p w14:paraId="246013FF" w14:textId="77777777" w:rsidR="007302A6" w:rsidRDefault="00B73226" w:rsidP="007302A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Advantages</w:t>
            </w:r>
          </w:p>
          <w:p w14:paraId="100519F1" w14:textId="77777777" w:rsidR="00B73226" w:rsidRDefault="00B73226" w:rsidP="007302A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Disadvantages</w:t>
            </w:r>
          </w:p>
          <w:p w14:paraId="3F6447C5" w14:textId="77777777" w:rsidR="00B73226" w:rsidRDefault="00B73226" w:rsidP="007302A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Benefits</w:t>
            </w:r>
          </w:p>
          <w:p w14:paraId="7B383E94" w14:textId="77777777" w:rsidR="00B73226" w:rsidRDefault="00B73226" w:rsidP="007302A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Limitations</w:t>
            </w:r>
          </w:p>
          <w:p w14:paraId="59256A07" w14:textId="77777777" w:rsidR="00B73226" w:rsidRDefault="00B73226" w:rsidP="007302A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Disability</w:t>
            </w:r>
          </w:p>
          <w:p w14:paraId="0C7CF0FD" w14:textId="77777777" w:rsidR="00B73226" w:rsidRDefault="00B73226" w:rsidP="007302A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Asthma</w:t>
            </w:r>
          </w:p>
          <w:p w14:paraId="1F250ECA" w14:textId="77777777" w:rsidR="00B73226" w:rsidRDefault="00B73226" w:rsidP="007302A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Diabetes</w:t>
            </w:r>
          </w:p>
          <w:p w14:paraId="0566DA07" w14:textId="55C6E8A7" w:rsidR="00B73226" w:rsidRDefault="00B73226" w:rsidP="007302A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Coronary Heart Disease</w:t>
            </w:r>
          </w:p>
          <w:p w14:paraId="620F8F77" w14:textId="01D548C4" w:rsidR="00B73226" w:rsidRDefault="00B67222" w:rsidP="007302A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Blood Pressure</w:t>
            </w:r>
          </w:p>
          <w:p w14:paraId="53D917FE" w14:textId="3B2CA67F" w:rsidR="00B67222" w:rsidRDefault="00B67222" w:rsidP="007302A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Cost</w:t>
            </w:r>
          </w:p>
          <w:p w14:paraId="7465428C" w14:textId="07DD6BB6" w:rsidR="00B67222" w:rsidRDefault="00B67222" w:rsidP="007302A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Access</w:t>
            </w:r>
          </w:p>
          <w:p w14:paraId="632BFD3B" w14:textId="17148630" w:rsidR="00B67222" w:rsidRDefault="00B67222" w:rsidP="007302A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Time</w:t>
            </w:r>
          </w:p>
          <w:p w14:paraId="2940BF29" w14:textId="2DC4FFA6" w:rsidR="00B67222" w:rsidRDefault="00B67222" w:rsidP="007302A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Cultural</w:t>
            </w:r>
          </w:p>
          <w:p w14:paraId="30555D01" w14:textId="6FE70058" w:rsidR="00B67222" w:rsidRDefault="00B67222" w:rsidP="007302A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Personal</w:t>
            </w:r>
          </w:p>
          <w:p w14:paraId="3D2FFB01" w14:textId="67DBFCE3" w:rsidR="00B67222" w:rsidRDefault="00B67222" w:rsidP="007302A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Technology</w:t>
            </w:r>
          </w:p>
          <w:p w14:paraId="6E38E60F" w14:textId="4B700B7E" w:rsidR="00B67222" w:rsidRDefault="00B67222" w:rsidP="007302A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Equipment</w:t>
            </w:r>
          </w:p>
          <w:p w14:paraId="52823658" w14:textId="70616DCD" w:rsidR="00B67222" w:rsidRDefault="00B67222" w:rsidP="007302A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Officiating</w:t>
            </w:r>
          </w:p>
          <w:p w14:paraId="710BB127" w14:textId="231944A1" w:rsidR="00B67222" w:rsidRDefault="00B67222" w:rsidP="007302A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Facilities</w:t>
            </w:r>
          </w:p>
          <w:p w14:paraId="61257DF2" w14:textId="0BA7418F" w:rsidR="00B67222" w:rsidRDefault="00B67222" w:rsidP="007302A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Accuracy</w:t>
            </w:r>
          </w:p>
          <w:p w14:paraId="261FFFA3" w14:textId="16032F34" w:rsidR="00B67222" w:rsidRDefault="00B67222" w:rsidP="007302A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Data</w:t>
            </w:r>
          </w:p>
          <w:p w14:paraId="30E38445" w14:textId="282466AA" w:rsidR="00B67222" w:rsidRDefault="00B67222" w:rsidP="007302A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Warm up</w:t>
            </w:r>
          </w:p>
          <w:p w14:paraId="257DA52E" w14:textId="2E21AF9F" w:rsidR="00B67222" w:rsidRDefault="00B67222" w:rsidP="007302A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Preparation</w:t>
            </w:r>
          </w:p>
          <w:p w14:paraId="0E32237F" w14:textId="129741C2" w:rsidR="00B67222" w:rsidRDefault="00EE432C" w:rsidP="007302A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Pulse-Raier</w:t>
            </w:r>
          </w:p>
          <w:p w14:paraId="6E020BD4" w14:textId="2F29711A" w:rsidR="00EE432C" w:rsidRDefault="00EE432C" w:rsidP="007302A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Mobiliser</w:t>
            </w:r>
          </w:p>
          <w:p w14:paraId="5A4D42E7" w14:textId="6EBB65CE" w:rsidR="00EE432C" w:rsidRDefault="00EE432C" w:rsidP="007302A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Stetches</w:t>
            </w:r>
          </w:p>
          <w:p w14:paraId="1E40B7BA" w14:textId="3228D823" w:rsidR="00EE432C" w:rsidRDefault="00EE432C" w:rsidP="007302A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Usability</w:t>
            </w:r>
          </w:p>
          <w:p w14:paraId="4D9E397F" w14:textId="60232648" w:rsidR="00EE432C" w:rsidRDefault="00EE432C" w:rsidP="007302A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Accessibility</w:t>
            </w:r>
          </w:p>
          <w:p w14:paraId="3EB04927" w14:textId="2AD18E32" w:rsidR="00EE432C" w:rsidRDefault="00EE432C" w:rsidP="007302A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Cardiorespiratory system</w:t>
            </w:r>
          </w:p>
          <w:p w14:paraId="3B66DEFA" w14:textId="1054BD80" w:rsidR="00EE432C" w:rsidRDefault="00EE432C" w:rsidP="007302A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Musculoskeletal system </w:t>
            </w:r>
          </w:p>
          <w:p w14:paraId="7E4B786D" w14:textId="73A221E1" w:rsidR="00B73226" w:rsidRPr="007302A6" w:rsidRDefault="00B73226" w:rsidP="007302A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545E9B" w:rsidRPr="0046706D" w14:paraId="5B384543" w14:textId="77777777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521AAEE5" w:rsidR="00DC44B2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00505CF5">
        <w:trPr>
          <w:trHeight w:val="985"/>
        </w:trPr>
        <w:tc>
          <w:tcPr>
            <w:tcW w:w="10206" w:type="dxa"/>
            <w:gridSpan w:val="4"/>
          </w:tcPr>
          <w:p w14:paraId="018EC2C2" w14:textId="784E9928" w:rsidR="001747A4" w:rsidRPr="0046706D" w:rsidRDefault="00EE432C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See the specification available on the Pearson website: </w:t>
            </w:r>
            <w:hyperlink r:id="rId10" w:history="1">
              <w:r w:rsidR="00D009BB">
                <w:rPr>
                  <w:rStyle w:val="Hyperlink"/>
                </w:rPr>
                <w:t>Specification - Pearson BTEC Level 1/Level 2 Tech Award in Sport 2022 Issue 3</w:t>
              </w:r>
            </w:hyperlink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357F1" w14:textId="77777777" w:rsidR="008C36A7" w:rsidRDefault="008C36A7" w:rsidP="001F2C70">
      <w:pPr>
        <w:spacing w:after="0" w:line="240" w:lineRule="auto"/>
      </w:pPr>
      <w:r>
        <w:separator/>
      </w:r>
    </w:p>
  </w:endnote>
  <w:endnote w:type="continuationSeparator" w:id="0">
    <w:p w14:paraId="15564197" w14:textId="77777777" w:rsidR="008C36A7" w:rsidRDefault="008C36A7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4E5F9" w14:textId="77777777" w:rsidR="008C36A7" w:rsidRDefault="008C36A7" w:rsidP="001F2C70">
      <w:pPr>
        <w:spacing w:after="0" w:line="240" w:lineRule="auto"/>
      </w:pPr>
      <w:r>
        <w:separator/>
      </w:r>
    </w:p>
  </w:footnote>
  <w:footnote w:type="continuationSeparator" w:id="0">
    <w:p w14:paraId="505CE1D3" w14:textId="77777777" w:rsidR="008C36A7" w:rsidRDefault="008C36A7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8EC"/>
    <w:multiLevelType w:val="hybridMultilevel"/>
    <w:tmpl w:val="D3B678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6857"/>
    <w:multiLevelType w:val="hybridMultilevel"/>
    <w:tmpl w:val="224C0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A4133"/>
    <w:multiLevelType w:val="hybridMultilevel"/>
    <w:tmpl w:val="12E89B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4"/>
  </w:num>
  <w:num w:numId="2" w16cid:durableId="1128552435">
    <w:abstractNumId w:val="3"/>
  </w:num>
  <w:num w:numId="3" w16cid:durableId="1922595770">
    <w:abstractNumId w:val="0"/>
  </w:num>
  <w:num w:numId="4" w16cid:durableId="1903132421">
    <w:abstractNumId w:val="2"/>
  </w:num>
  <w:num w:numId="5" w16cid:durableId="524057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085A80"/>
    <w:rsid w:val="000D2C61"/>
    <w:rsid w:val="001436F9"/>
    <w:rsid w:val="001747A4"/>
    <w:rsid w:val="00177C24"/>
    <w:rsid w:val="001825D6"/>
    <w:rsid w:val="001A0C14"/>
    <w:rsid w:val="001D450B"/>
    <w:rsid w:val="001F2C70"/>
    <w:rsid w:val="0021493B"/>
    <w:rsid w:val="00217531"/>
    <w:rsid w:val="0024136E"/>
    <w:rsid w:val="00255BF6"/>
    <w:rsid w:val="00263616"/>
    <w:rsid w:val="00295EF9"/>
    <w:rsid w:val="002D1489"/>
    <w:rsid w:val="002D1F89"/>
    <w:rsid w:val="002D5DAF"/>
    <w:rsid w:val="002E35BD"/>
    <w:rsid w:val="0030112C"/>
    <w:rsid w:val="00303F16"/>
    <w:rsid w:val="00355A1A"/>
    <w:rsid w:val="0036087F"/>
    <w:rsid w:val="003653A3"/>
    <w:rsid w:val="00400F32"/>
    <w:rsid w:val="0046706D"/>
    <w:rsid w:val="0047528D"/>
    <w:rsid w:val="00492197"/>
    <w:rsid w:val="004A13F7"/>
    <w:rsid w:val="004A6C49"/>
    <w:rsid w:val="004D6B19"/>
    <w:rsid w:val="00505CF5"/>
    <w:rsid w:val="00525CCC"/>
    <w:rsid w:val="00526BF0"/>
    <w:rsid w:val="00531313"/>
    <w:rsid w:val="00534B06"/>
    <w:rsid w:val="00545E9B"/>
    <w:rsid w:val="00564296"/>
    <w:rsid w:val="00580241"/>
    <w:rsid w:val="00592233"/>
    <w:rsid w:val="005B6017"/>
    <w:rsid w:val="005C1618"/>
    <w:rsid w:val="00616C9A"/>
    <w:rsid w:val="00623E21"/>
    <w:rsid w:val="006242AA"/>
    <w:rsid w:val="0064751A"/>
    <w:rsid w:val="00653313"/>
    <w:rsid w:val="00664B90"/>
    <w:rsid w:val="006A27B1"/>
    <w:rsid w:val="006A7533"/>
    <w:rsid w:val="006B0ECA"/>
    <w:rsid w:val="006B79B4"/>
    <w:rsid w:val="006D5A69"/>
    <w:rsid w:val="007268D1"/>
    <w:rsid w:val="007302A6"/>
    <w:rsid w:val="0075729A"/>
    <w:rsid w:val="00771274"/>
    <w:rsid w:val="00775270"/>
    <w:rsid w:val="00790DD4"/>
    <w:rsid w:val="007A5D31"/>
    <w:rsid w:val="007A604B"/>
    <w:rsid w:val="007B58AF"/>
    <w:rsid w:val="007E7676"/>
    <w:rsid w:val="0083569A"/>
    <w:rsid w:val="00841640"/>
    <w:rsid w:val="00844017"/>
    <w:rsid w:val="008666FD"/>
    <w:rsid w:val="00887564"/>
    <w:rsid w:val="008C17C2"/>
    <w:rsid w:val="008C36A7"/>
    <w:rsid w:val="008D2714"/>
    <w:rsid w:val="008E17D5"/>
    <w:rsid w:val="008E3F9F"/>
    <w:rsid w:val="008F7446"/>
    <w:rsid w:val="00943938"/>
    <w:rsid w:val="0095095F"/>
    <w:rsid w:val="00956CC3"/>
    <w:rsid w:val="00996E7A"/>
    <w:rsid w:val="009C7B82"/>
    <w:rsid w:val="00A2746C"/>
    <w:rsid w:val="00A64BE8"/>
    <w:rsid w:val="00AA1C7D"/>
    <w:rsid w:val="00AB5F1B"/>
    <w:rsid w:val="00AC6080"/>
    <w:rsid w:val="00AF4144"/>
    <w:rsid w:val="00B32921"/>
    <w:rsid w:val="00B51296"/>
    <w:rsid w:val="00B67222"/>
    <w:rsid w:val="00B73226"/>
    <w:rsid w:val="00B86922"/>
    <w:rsid w:val="00BB7289"/>
    <w:rsid w:val="00BB79B5"/>
    <w:rsid w:val="00BD159A"/>
    <w:rsid w:val="00BF4891"/>
    <w:rsid w:val="00C2257B"/>
    <w:rsid w:val="00C55E2F"/>
    <w:rsid w:val="00C56B73"/>
    <w:rsid w:val="00CA1E81"/>
    <w:rsid w:val="00CA5DDA"/>
    <w:rsid w:val="00CB1AF6"/>
    <w:rsid w:val="00CB5DCA"/>
    <w:rsid w:val="00CC1F79"/>
    <w:rsid w:val="00CE2285"/>
    <w:rsid w:val="00CE2C93"/>
    <w:rsid w:val="00D009BB"/>
    <w:rsid w:val="00D10AA9"/>
    <w:rsid w:val="00D4152C"/>
    <w:rsid w:val="00D5354E"/>
    <w:rsid w:val="00D8549A"/>
    <w:rsid w:val="00D959F2"/>
    <w:rsid w:val="00DB7C36"/>
    <w:rsid w:val="00DC44B2"/>
    <w:rsid w:val="00DF651B"/>
    <w:rsid w:val="00DF69DC"/>
    <w:rsid w:val="00E114F2"/>
    <w:rsid w:val="00E26854"/>
    <w:rsid w:val="00E46B6D"/>
    <w:rsid w:val="00E51457"/>
    <w:rsid w:val="00E81884"/>
    <w:rsid w:val="00EA6271"/>
    <w:rsid w:val="00EE432C"/>
    <w:rsid w:val="00F14D00"/>
    <w:rsid w:val="00F152A2"/>
    <w:rsid w:val="00F4279C"/>
    <w:rsid w:val="00F84D62"/>
    <w:rsid w:val="00FB35A6"/>
    <w:rsid w:val="00FC0F03"/>
    <w:rsid w:val="00FC2707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1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17531"/>
  </w:style>
  <w:style w:type="character" w:customStyle="1" w:styleId="eop">
    <w:name w:val="eop"/>
    <w:basedOn w:val="DefaultParagraphFont"/>
    <w:rsid w:val="00217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qualifications.pearson.com/content/dam/pdf/btec-tec-awards/sport/2022/specification-and-sample-assessments/btec-tech-award-sport-spec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D7EFE6-5990-4043-A00A-87B317EDA273}"/>
</file>

<file path=customXml/itemProps2.xml><?xml version="1.0" encoding="utf-8"?>
<ds:datastoreItem xmlns:ds="http://schemas.openxmlformats.org/officeDocument/2006/customXml" ds:itemID="{923AF2A1-D4B9-4075-8AE7-6C2CB20A3C26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3.xml><?xml version="1.0" encoding="utf-8"?>
<ds:datastoreItem xmlns:ds="http://schemas.openxmlformats.org/officeDocument/2006/customXml" ds:itemID="{E30A4497-3809-4BA0-AEDC-13B01F00FE7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K Redstone</cp:lastModifiedBy>
  <cp:revision>56</cp:revision>
  <dcterms:created xsi:type="dcterms:W3CDTF">2023-07-07T11:58:00Z</dcterms:created>
  <dcterms:modified xsi:type="dcterms:W3CDTF">2023-07-07T12:55:00Z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